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4F" w:rsidRDefault="00B7354F" w:rsidP="00B26AA4">
      <w:pPr>
        <w:jc w:val="both"/>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4.5pt;margin-top:-15.55pt;width:109.5pt;height:114.75pt;z-index:251658240;visibility:visible">
            <v:imagedata r:id="rId7" o:title=""/>
            <w10:wrap type="square"/>
          </v:shape>
        </w:pict>
      </w:r>
    </w:p>
    <w:p w:rsidR="00B7354F" w:rsidRDefault="00B7354F" w:rsidP="00B26AA4">
      <w:pPr>
        <w:jc w:val="both"/>
        <w:rPr>
          <w:b/>
          <w:bCs/>
        </w:rPr>
      </w:pPr>
    </w:p>
    <w:p w:rsidR="00B7354F" w:rsidRDefault="00B7354F" w:rsidP="00B26AA4">
      <w:pPr>
        <w:jc w:val="both"/>
        <w:rPr>
          <w:b/>
          <w:bCs/>
        </w:rPr>
      </w:pPr>
    </w:p>
    <w:p w:rsidR="00B7354F" w:rsidRDefault="00B7354F" w:rsidP="00B26AA4">
      <w:pPr>
        <w:jc w:val="both"/>
        <w:rPr>
          <w:b/>
          <w:bCs/>
        </w:rPr>
      </w:pPr>
    </w:p>
    <w:p w:rsidR="00B7354F" w:rsidRDefault="00B7354F" w:rsidP="00B26AA4">
      <w:pPr>
        <w:jc w:val="both"/>
        <w:rPr>
          <w:b/>
          <w:bCs/>
        </w:rPr>
      </w:pPr>
    </w:p>
    <w:p w:rsidR="00B7354F" w:rsidRDefault="00B7354F" w:rsidP="00B26AA4">
      <w:pPr>
        <w:jc w:val="both"/>
        <w:rPr>
          <w:b/>
          <w:bCs/>
        </w:rPr>
      </w:pPr>
    </w:p>
    <w:p w:rsidR="00B7354F" w:rsidRDefault="00B7354F" w:rsidP="00B26AA4">
      <w:pPr>
        <w:jc w:val="both"/>
        <w:rPr>
          <w:b/>
          <w:bCs/>
        </w:rPr>
      </w:pPr>
    </w:p>
    <w:p w:rsidR="00B7354F" w:rsidRDefault="00B7354F" w:rsidP="00B26AA4">
      <w:pPr>
        <w:jc w:val="both"/>
        <w:rPr>
          <w:b/>
          <w:bCs/>
        </w:rPr>
      </w:pPr>
    </w:p>
    <w:p w:rsidR="00B7354F" w:rsidRPr="0028354A" w:rsidRDefault="00B7354F" w:rsidP="00B26AA4">
      <w:pPr>
        <w:jc w:val="center"/>
        <w:rPr>
          <w:rFonts w:ascii="Elephant" w:hAnsi="Elephant"/>
          <w:sz w:val="28"/>
          <w:szCs w:val="28"/>
        </w:rPr>
      </w:pPr>
      <w:r w:rsidRPr="0028354A">
        <w:rPr>
          <w:rFonts w:ascii="Elephant" w:hAnsi="Elephant"/>
          <w:sz w:val="32"/>
          <w:szCs w:val="32"/>
        </w:rPr>
        <w:t xml:space="preserve">Auditory Brain- Stem Responses in Neonatal Hyperbilirubinemia and effect of therapy </w:t>
      </w:r>
    </w:p>
    <w:p w:rsidR="00B7354F" w:rsidRPr="00603005" w:rsidRDefault="00B7354F" w:rsidP="00B26AA4">
      <w:pPr>
        <w:spacing w:line="360" w:lineRule="auto"/>
        <w:jc w:val="center"/>
      </w:pPr>
      <w:r w:rsidRPr="00603005">
        <w:t>Thesis submitted for fulfillment of Ph.D.in Medical Childhood Studies</w:t>
      </w:r>
    </w:p>
    <w:p w:rsidR="00B7354F" w:rsidRPr="00603005" w:rsidRDefault="00B7354F" w:rsidP="00B26AA4">
      <w:pPr>
        <w:spacing w:line="360" w:lineRule="auto"/>
        <w:jc w:val="center"/>
      </w:pPr>
      <w:r>
        <w:t>(</w:t>
      </w:r>
      <w:r w:rsidRPr="00603005">
        <w:t>Child Health and Nutrition)</w:t>
      </w:r>
    </w:p>
    <w:p w:rsidR="00B7354F" w:rsidRDefault="00B7354F" w:rsidP="00B26AA4">
      <w:pPr>
        <w:spacing w:line="360" w:lineRule="auto"/>
        <w:jc w:val="center"/>
        <w:rPr>
          <w:b/>
          <w:bCs/>
          <w:sz w:val="30"/>
          <w:szCs w:val="30"/>
        </w:rPr>
      </w:pPr>
      <w:r>
        <w:rPr>
          <w:b/>
          <w:bCs/>
          <w:sz w:val="30"/>
          <w:szCs w:val="30"/>
        </w:rPr>
        <w:t>Submitted By</w:t>
      </w:r>
    </w:p>
    <w:p w:rsidR="00B7354F" w:rsidRPr="00603005" w:rsidRDefault="00B7354F" w:rsidP="00B26AA4">
      <w:pPr>
        <w:spacing w:line="360" w:lineRule="auto"/>
        <w:jc w:val="center"/>
        <w:rPr>
          <w:b/>
          <w:bCs/>
          <w:sz w:val="28"/>
          <w:szCs w:val="28"/>
        </w:rPr>
      </w:pPr>
      <w:r w:rsidRPr="00603005">
        <w:rPr>
          <w:b/>
          <w:bCs/>
          <w:sz w:val="28"/>
          <w:szCs w:val="28"/>
        </w:rPr>
        <w:t xml:space="preserve">Dr. Sanaa Mohamed Tantawy </w:t>
      </w:r>
    </w:p>
    <w:p w:rsidR="00B7354F" w:rsidRPr="00603005" w:rsidRDefault="00B7354F" w:rsidP="00B26AA4">
      <w:pPr>
        <w:spacing w:line="360" w:lineRule="auto"/>
        <w:jc w:val="center"/>
      </w:pPr>
      <w:r w:rsidRPr="00603005">
        <w:t>M.B.B.Ch ., M.Sc (Pediatrics)</w:t>
      </w:r>
    </w:p>
    <w:p w:rsidR="00B7354F" w:rsidRPr="00603005" w:rsidRDefault="00B7354F" w:rsidP="00B26AA4">
      <w:pPr>
        <w:spacing w:line="360" w:lineRule="auto"/>
        <w:jc w:val="center"/>
      </w:pPr>
      <w:r w:rsidRPr="00603005">
        <w:t>Al-Azhar University</w:t>
      </w:r>
    </w:p>
    <w:p w:rsidR="00B7354F" w:rsidRPr="004A10FA" w:rsidRDefault="00B7354F" w:rsidP="00B26AA4">
      <w:pPr>
        <w:spacing w:line="360" w:lineRule="auto"/>
        <w:jc w:val="center"/>
        <w:rPr>
          <w:sz w:val="28"/>
          <w:szCs w:val="28"/>
        </w:rPr>
      </w:pPr>
    </w:p>
    <w:p w:rsidR="00B7354F" w:rsidRDefault="00B7354F" w:rsidP="00B26AA4">
      <w:pPr>
        <w:spacing w:line="360" w:lineRule="auto"/>
        <w:jc w:val="center"/>
        <w:rPr>
          <w:b/>
          <w:bCs/>
          <w:sz w:val="28"/>
          <w:szCs w:val="28"/>
          <w:u w:val="single"/>
        </w:rPr>
      </w:pPr>
      <w:r w:rsidRPr="00603005">
        <w:rPr>
          <w:b/>
          <w:bCs/>
          <w:sz w:val="28"/>
          <w:szCs w:val="28"/>
          <w:u w:val="single"/>
        </w:rPr>
        <w:t>Supervised by</w:t>
      </w:r>
    </w:p>
    <w:p w:rsidR="00B7354F" w:rsidRPr="00603005" w:rsidRDefault="00B7354F" w:rsidP="00B26AA4">
      <w:pPr>
        <w:spacing w:line="360" w:lineRule="auto"/>
        <w:jc w:val="center"/>
        <w:rPr>
          <w:b/>
          <w:bCs/>
          <w:sz w:val="28"/>
          <w:szCs w:val="28"/>
          <w:u w:val="single"/>
        </w:rPr>
      </w:pPr>
    </w:p>
    <w:tbl>
      <w:tblPr>
        <w:tblW w:w="0" w:type="auto"/>
        <w:tblInd w:w="-106" w:type="dxa"/>
        <w:tblLook w:val="00A0"/>
      </w:tblPr>
      <w:tblGrid>
        <w:gridCol w:w="4373"/>
        <w:gridCol w:w="4347"/>
      </w:tblGrid>
      <w:tr w:rsidR="00B7354F" w:rsidRPr="00B26AA4">
        <w:tc>
          <w:tcPr>
            <w:tcW w:w="4788" w:type="dxa"/>
          </w:tcPr>
          <w:p w:rsidR="00B7354F" w:rsidRPr="00B26AA4" w:rsidRDefault="00B7354F" w:rsidP="00B26AA4">
            <w:pPr>
              <w:spacing w:before="100" w:beforeAutospacing="1" w:after="100" w:afterAutospacing="1"/>
              <w:jc w:val="center"/>
              <w:rPr>
                <w:b/>
                <w:bCs/>
                <w:lang w:eastAsia="ja-JP"/>
              </w:rPr>
            </w:pPr>
            <w:r w:rsidRPr="00B26AA4">
              <w:rPr>
                <w:b/>
                <w:bCs/>
                <w:sz w:val="22"/>
                <w:szCs w:val="22"/>
                <w:lang w:eastAsia="ja-JP"/>
              </w:rPr>
              <w:t>Dr./ Magdy Karam El- din Ali</w:t>
            </w:r>
          </w:p>
          <w:p w:rsidR="00B7354F" w:rsidRPr="00B26AA4" w:rsidRDefault="00B7354F" w:rsidP="00B26AA4">
            <w:pPr>
              <w:spacing w:before="100" w:beforeAutospacing="1" w:after="100" w:afterAutospacing="1"/>
              <w:jc w:val="center"/>
              <w:rPr>
                <w:lang w:eastAsia="ja-JP"/>
              </w:rPr>
            </w:pPr>
            <w:r w:rsidRPr="00B26AA4">
              <w:rPr>
                <w:sz w:val="22"/>
                <w:szCs w:val="22"/>
                <w:lang w:eastAsia="ja-JP"/>
              </w:rPr>
              <w:t>Prof. of Preventive Medical and</w:t>
            </w:r>
          </w:p>
          <w:p w:rsidR="00B7354F" w:rsidRPr="00B26AA4" w:rsidRDefault="00B7354F" w:rsidP="00B26AA4">
            <w:pPr>
              <w:spacing w:before="100" w:beforeAutospacing="1" w:after="100" w:afterAutospacing="1"/>
              <w:jc w:val="center"/>
              <w:rPr>
                <w:lang w:eastAsia="ja-JP"/>
              </w:rPr>
            </w:pPr>
            <w:r w:rsidRPr="00B26AA4">
              <w:rPr>
                <w:sz w:val="22"/>
                <w:szCs w:val="22"/>
                <w:lang w:eastAsia="ja-JP"/>
              </w:rPr>
              <w:t xml:space="preserve">Epidemiology  </w:t>
            </w:r>
          </w:p>
          <w:p w:rsidR="00B7354F" w:rsidRPr="00B26AA4" w:rsidRDefault="00B7354F" w:rsidP="00B26AA4">
            <w:pPr>
              <w:spacing w:before="100" w:beforeAutospacing="1" w:after="100" w:afterAutospacing="1"/>
              <w:jc w:val="center"/>
              <w:rPr>
                <w:sz w:val="20"/>
                <w:szCs w:val="20"/>
                <w:lang w:eastAsia="ja-JP"/>
              </w:rPr>
            </w:pPr>
            <w:r w:rsidRPr="00B26AA4">
              <w:rPr>
                <w:sz w:val="20"/>
                <w:szCs w:val="20"/>
                <w:lang w:eastAsia="ja-JP"/>
              </w:rPr>
              <w:t>Institute of Post- graduate Childhood Studies</w:t>
            </w:r>
          </w:p>
          <w:p w:rsidR="00B7354F" w:rsidRPr="00B26AA4" w:rsidRDefault="00B7354F" w:rsidP="00B26AA4">
            <w:pPr>
              <w:spacing w:before="100" w:beforeAutospacing="1" w:after="100" w:afterAutospacing="1"/>
              <w:jc w:val="center"/>
              <w:rPr>
                <w:lang w:eastAsia="ja-JP"/>
              </w:rPr>
            </w:pPr>
            <w:r w:rsidRPr="00B26AA4">
              <w:rPr>
                <w:sz w:val="22"/>
                <w:szCs w:val="22"/>
                <w:lang w:eastAsia="ja-JP"/>
              </w:rPr>
              <w:t xml:space="preserve">Ain Shams University </w:t>
            </w:r>
          </w:p>
          <w:p w:rsidR="00B7354F" w:rsidRPr="00B26AA4" w:rsidRDefault="00B7354F" w:rsidP="00B26AA4">
            <w:pPr>
              <w:spacing w:before="100" w:beforeAutospacing="1" w:after="100" w:afterAutospacing="1" w:line="276" w:lineRule="auto"/>
              <w:jc w:val="center"/>
              <w:rPr>
                <w:b/>
                <w:bCs/>
                <w:lang w:eastAsia="ja-JP"/>
              </w:rPr>
            </w:pPr>
            <w:r w:rsidRPr="00B26AA4">
              <w:rPr>
                <w:b/>
                <w:bCs/>
                <w:sz w:val="22"/>
                <w:szCs w:val="22"/>
                <w:lang w:eastAsia="ja-JP"/>
              </w:rPr>
              <w:t>Dr./ Safaa El Meneza</w:t>
            </w:r>
          </w:p>
          <w:p w:rsidR="00B7354F" w:rsidRPr="00B26AA4" w:rsidRDefault="00B7354F" w:rsidP="00B26AA4">
            <w:pPr>
              <w:spacing w:before="100" w:beforeAutospacing="1" w:after="100" w:afterAutospacing="1" w:line="276" w:lineRule="auto"/>
              <w:jc w:val="center"/>
              <w:rPr>
                <w:lang w:eastAsia="ja-JP"/>
              </w:rPr>
            </w:pPr>
            <w:r w:rsidRPr="00B26AA4">
              <w:rPr>
                <w:sz w:val="22"/>
                <w:szCs w:val="22"/>
                <w:lang w:eastAsia="ja-JP"/>
              </w:rPr>
              <w:t xml:space="preserve">Prof. of Neonatology and Pediatrics </w:t>
            </w:r>
          </w:p>
          <w:p w:rsidR="00B7354F" w:rsidRPr="00B26AA4" w:rsidRDefault="00B7354F" w:rsidP="00B26AA4">
            <w:pPr>
              <w:spacing w:before="100" w:beforeAutospacing="1" w:after="100" w:afterAutospacing="1" w:line="276" w:lineRule="auto"/>
              <w:jc w:val="center"/>
              <w:rPr>
                <w:lang w:eastAsia="ja-JP"/>
              </w:rPr>
            </w:pPr>
            <w:r w:rsidRPr="00B26AA4">
              <w:rPr>
                <w:sz w:val="22"/>
                <w:szCs w:val="22"/>
                <w:lang w:eastAsia="ja-JP"/>
              </w:rPr>
              <w:t>Faculty of Medicine for Girls</w:t>
            </w:r>
          </w:p>
          <w:p w:rsidR="00B7354F" w:rsidRPr="00B26AA4" w:rsidRDefault="00B7354F" w:rsidP="00B26AA4">
            <w:pPr>
              <w:spacing w:before="100" w:beforeAutospacing="1" w:after="100" w:afterAutospacing="1" w:line="276" w:lineRule="auto"/>
              <w:jc w:val="center"/>
              <w:rPr>
                <w:lang w:eastAsia="ja-JP"/>
              </w:rPr>
            </w:pPr>
            <w:r w:rsidRPr="00B26AA4">
              <w:rPr>
                <w:sz w:val="22"/>
                <w:szCs w:val="22"/>
                <w:lang w:eastAsia="ja-JP"/>
              </w:rPr>
              <w:t>Al-Azhar University</w:t>
            </w:r>
          </w:p>
        </w:tc>
        <w:tc>
          <w:tcPr>
            <w:tcW w:w="4788" w:type="dxa"/>
          </w:tcPr>
          <w:p w:rsidR="00B7354F" w:rsidRPr="00B26AA4" w:rsidRDefault="00B7354F" w:rsidP="00B26AA4">
            <w:pPr>
              <w:spacing w:before="100" w:beforeAutospacing="1" w:after="100" w:afterAutospacing="1"/>
              <w:jc w:val="center"/>
              <w:rPr>
                <w:b/>
                <w:bCs/>
                <w:lang w:eastAsia="ja-JP"/>
              </w:rPr>
            </w:pPr>
            <w:r w:rsidRPr="00B26AA4">
              <w:rPr>
                <w:b/>
                <w:bCs/>
                <w:sz w:val="22"/>
                <w:szCs w:val="22"/>
                <w:lang w:eastAsia="ja-JP"/>
              </w:rPr>
              <w:t>Dr./ Randa Mohamed Kamal</w:t>
            </w:r>
          </w:p>
          <w:p w:rsidR="00B7354F" w:rsidRPr="00B26AA4" w:rsidRDefault="00B7354F" w:rsidP="00B26AA4">
            <w:pPr>
              <w:spacing w:before="100" w:beforeAutospacing="1" w:after="100" w:afterAutospacing="1"/>
              <w:jc w:val="center"/>
              <w:rPr>
                <w:lang w:eastAsia="ja-JP"/>
              </w:rPr>
            </w:pPr>
            <w:r w:rsidRPr="00B26AA4">
              <w:rPr>
                <w:sz w:val="22"/>
                <w:szCs w:val="22"/>
                <w:lang w:eastAsia="ja-JP"/>
              </w:rPr>
              <w:t xml:space="preserve">Prof. of Pediatrics Medical studies Department </w:t>
            </w:r>
          </w:p>
          <w:p w:rsidR="00B7354F" w:rsidRPr="00B26AA4" w:rsidRDefault="00B7354F" w:rsidP="00B26AA4">
            <w:pPr>
              <w:spacing w:before="100" w:beforeAutospacing="1" w:after="100" w:afterAutospacing="1"/>
              <w:jc w:val="center"/>
              <w:rPr>
                <w:lang w:eastAsia="ja-JP"/>
              </w:rPr>
            </w:pPr>
            <w:r w:rsidRPr="00B26AA4">
              <w:rPr>
                <w:sz w:val="22"/>
                <w:szCs w:val="22"/>
                <w:lang w:eastAsia="ja-JP"/>
              </w:rPr>
              <w:t>Institute of Post- graduate Childhood Studies</w:t>
            </w:r>
          </w:p>
          <w:p w:rsidR="00B7354F" w:rsidRDefault="00B7354F" w:rsidP="00B26AA4">
            <w:pPr>
              <w:spacing w:before="100" w:beforeAutospacing="1" w:after="100" w:afterAutospacing="1"/>
              <w:jc w:val="center"/>
              <w:rPr>
                <w:lang w:eastAsia="ja-JP"/>
              </w:rPr>
            </w:pPr>
            <w:r w:rsidRPr="00B26AA4">
              <w:rPr>
                <w:sz w:val="22"/>
                <w:szCs w:val="22"/>
                <w:lang w:eastAsia="ja-JP"/>
              </w:rPr>
              <w:t>Ain Shams University</w:t>
            </w:r>
          </w:p>
          <w:p w:rsidR="00B7354F" w:rsidRPr="00B26AA4" w:rsidRDefault="00B7354F" w:rsidP="00B26AA4">
            <w:pPr>
              <w:spacing w:before="100" w:beforeAutospacing="1" w:after="100" w:afterAutospacing="1"/>
              <w:jc w:val="center"/>
              <w:rPr>
                <w:lang w:eastAsia="ja-JP"/>
              </w:rPr>
            </w:pPr>
          </w:p>
          <w:p w:rsidR="00B7354F" w:rsidRPr="00B26AA4" w:rsidRDefault="00B7354F" w:rsidP="00B26AA4">
            <w:pPr>
              <w:spacing w:before="100" w:beforeAutospacing="1" w:after="100" w:afterAutospacing="1" w:line="276" w:lineRule="auto"/>
              <w:jc w:val="center"/>
              <w:rPr>
                <w:b/>
                <w:bCs/>
                <w:lang w:eastAsia="ja-JP"/>
              </w:rPr>
            </w:pPr>
            <w:r w:rsidRPr="00B26AA4">
              <w:rPr>
                <w:b/>
                <w:bCs/>
                <w:sz w:val="22"/>
                <w:szCs w:val="22"/>
                <w:lang w:eastAsia="ja-JP"/>
              </w:rPr>
              <w:t>Dr./ Mohamed El Gohary</w:t>
            </w:r>
          </w:p>
          <w:p w:rsidR="00B7354F" w:rsidRPr="00B26AA4" w:rsidRDefault="00B7354F" w:rsidP="00B26AA4">
            <w:pPr>
              <w:spacing w:before="100" w:beforeAutospacing="1" w:after="100" w:afterAutospacing="1" w:line="276" w:lineRule="auto"/>
              <w:jc w:val="center"/>
              <w:rPr>
                <w:lang w:eastAsia="ja-JP"/>
              </w:rPr>
            </w:pPr>
            <w:r w:rsidRPr="00B26AA4">
              <w:rPr>
                <w:sz w:val="22"/>
                <w:szCs w:val="22"/>
                <w:lang w:eastAsia="ja-JP"/>
              </w:rPr>
              <w:t>Prof. of Audiology</w:t>
            </w:r>
          </w:p>
          <w:p w:rsidR="00B7354F" w:rsidRPr="00B26AA4" w:rsidRDefault="00B7354F" w:rsidP="00B26AA4">
            <w:pPr>
              <w:spacing w:before="100" w:beforeAutospacing="1" w:after="100" w:afterAutospacing="1" w:line="276" w:lineRule="auto"/>
              <w:jc w:val="center"/>
              <w:rPr>
                <w:lang w:eastAsia="ja-JP"/>
              </w:rPr>
            </w:pPr>
            <w:r w:rsidRPr="00B26AA4">
              <w:rPr>
                <w:sz w:val="22"/>
                <w:szCs w:val="22"/>
                <w:lang w:eastAsia="ja-JP"/>
              </w:rPr>
              <w:t>Faculty of Medicine for Girls</w:t>
            </w:r>
          </w:p>
          <w:p w:rsidR="00B7354F" w:rsidRPr="00B26AA4" w:rsidRDefault="00B7354F" w:rsidP="00B26AA4">
            <w:pPr>
              <w:spacing w:before="100" w:beforeAutospacing="1" w:after="100" w:afterAutospacing="1" w:line="276" w:lineRule="auto"/>
              <w:jc w:val="center"/>
              <w:rPr>
                <w:lang w:eastAsia="ja-JP"/>
              </w:rPr>
            </w:pPr>
            <w:r w:rsidRPr="00B26AA4">
              <w:rPr>
                <w:sz w:val="22"/>
                <w:szCs w:val="22"/>
                <w:lang w:eastAsia="ja-JP"/>
              </w:rPr>
              <w:t>Al-Azhar University</w:t>
            </w:r>
          </w:p>
          <w:p w:rsidR="00B7354F" w:rsidRPr="00B26AA4" w:rsidRDefault="00B7354F" w:rsidP="00B26AA4">
            <w:pPr>
              <w:spacing w:before="100" w:beforeAutospacing="1" w:after="100" w:afterAutospacing="1" w:line="360" w:lineRule="auto"/>
              <w:jc w:val="center"/>
              <w:rPr>
                <w:lang w:eastAsia="ja-JP"/>
              </w:rPr>
            </w:pPr>
          </w:p>
        </w:tc>
      </w:tr>
    </w:tbl>
    <w:p w:rsidR="00B7354F" w:rsidRDefault="00B7354F" w:rsidP="00B26AA4">
      <w:pPr>
        <w:ind w:left="-540"/>
        <w:jc w:val="center"/>
        <w:rPr>
          <w:b/>
          <w:bCs/>
          <w:sz w:val="28"/>
          <w:szCs w:val="28"/>
        </w:rPr>
      </w:pPr>
    </w:p>
    <w:p w:rsidR="00B7354F" w:rsidRPr="008A6B4C" w:rsidRDefault="00B7354F" w:rsidP="008A6B4C">
      <w:pPr>
        <w:spacing w:line="360" w:lineRule="auto"/>
        <w:jc w:val="center"/>
      </w:pPr>
      <w:r>
        <w:rPr>
          <w:b/>
          <w:bCs/>
          <w:sz w:val="30"/>
          <w:szCs w:val="30"/>
        </w:rPr>
        <w:t>2015</w:t>
      </w:r>
    </w:p>
    <w:p w:rsidR="00B7354F" w:rsidRPr="00052A3E" w:rsidRDefault="00B7354F" w:rsidP="0061317E">
      <w:pPr>
        <w:bidi w:val="0"/>
        <w:spacing w:line="360" w:lineRule="auto"/>
        <w:jc w:val="both"/>
        <w:rPr>
          <w:b/>
          <w:bCs/>
          <w:sz w:val="28"/>
          <w:szCs w:val="28"/>
          <w:u w:val="single"/>
          <w:lang w:bidi="ar-EG"/>
        </w:rPr>
      </w:pPr>
      <w:r w:rsidRPr="00590D7A">
        <w:rPr>
          <w:b/>
          <w:bCs/>
          <w:sz w:val="32"/>
          <w:szCs w:val="32"/>
          <w:u w:val="single"/>
          <w:lang w:bidi="ar-EG"/>
        </w:rPr>
        <w:t>Abstract</w:t>
      </w:r>
    </w:p>
    <w:p w:rsidR="00B7354F" w:rsidRPr="00052A3E" w:rsidRDefault="00B7354F" w:rsidP="00CA0D5E">
      <w:pPr>
        <w:pStyle w:val="Pa7"/>
        <w:spacing w:line="360" w:lineRule="auto"/>
        <w:jc w:val="both"/>
        <w:rPr>
          <w:rFonts w:ascii="Times New Roman" w:hAnsi="Times New Roman" w:cs="Times New Roman"/>
          <w:color w:val="000000"/>
          <w:sz w:val="28"/>
          <w:szCs w:val="28"/>
        </w:rPr>
      </w:pPr>
      <w:r w:rsidRPr="00052A3E">
        <w:rPr>
          <w:rFonts w:ascii="Times New Roman" w:hAnsi="Times New Roman" w:cs="Times New Roman"/>
          <w:b/>
          <w:bCs/>
          <w:sz w:val="28"/>
          <w:szCs w:val="28"/>
          <w:lang w:bidi="ar-EG"/>
        </w:rPr>
        <w:t>Background</w:t>
      </w:r>
      <w:r w:rsidRPr="00052A3E">
        <w:rPr>
          <w:rFonts w:ascii="Times New Roman" w:hAnsi="Times New Roman" w:cs="Times New Roman"/>
          <w:sz w:val="28"/>
          <w:szCs w:val="28"/>
        </w:rPr>
        <w:t>: Neonatal hyperbilirubinemia is the most common condition that requires medical attention in newborns</w:t>
      </w:r>
      <w:r w:rsidRPr="00052A3E">
        <w:rPr>
          <w:rFonts w:ascii="Times New Roman" w:hAnsi="Times New Roman" w:cs="Times New Roman"/>
          <w:b/>
          <w:bCs/>
          <w:sz w:val="28"/>
          <w:szCs w:val="28"/>
        </w:rPr>
        <w:t>.</w:t>
      </w:r>
      <w:r w:rsidRPr="00052A3E">
        <w:rPr>
          <w:rFonts w:ascii="Times New Roman" w:hAnsi="Times New Roman" w:cs="Times New Roman"/>
          <w:color w:val="000000"/>
          <w:sz w:val="28"/>
          <w:szCs w:val="28"/>
        </w:rPr>
        <w:t xml:space="preserve"> The phenomenon of deposited indirect bilirubin in basal ganglia as well as in the vesti</w:t>
      </w:r>
      <w:r w:rsidRPr="00052A3E">
        <w:rPr>
          <w:rFonts w:ascii="Times New Roman" w:hAnsi="Times New Roman" w:cs="Times New Roman"/>
          <w:color w:val="000000"/>
          <w:sz w:val="28"/>
          <w:szCs w:val="28"/>
        </w:rPr>
        <w:softHyphen/>
        <w:t>bule-cochlear nucleus causes a neurological syndrome called kernicterus as well as sensorineural hearing loss</w:t>
      </w:r>
      <w:r w:rsidRPr="00052A3E">
        <w:rPr>
          <w:rFonts w:ascii="Times New Roman" w:hAnsi="Times New Roman" w:cs="Times New Roman"/>
          <w:b/>
          <w:bCs/>
          <w:color w:val="000000"/>
          <w:sz w:val="28"/>
          <w:szCs w:val="28"/>
        </w:rPr>
        <w:t>.</w:t>
      </w:r>
      <w:r w:rsidRPr="00052A3E">
        <w:rPr>
          <w:rFonts w:ascii="Times New Roman" w:hAnsi="Times New Roman" w:cs="Times New Roman"/>
          <w:color w:val="000000"/>
          <w:sz w:val="28"/>
          <w:szCs w:val="28"/>
        </w:rPr>
        <w:t xml:space="preserve"> Currently, the most sensitive means of assessing neurotoxicity may be au</w:t>
      </w:r>
      <w:r w:rsidRPr="00052A3E">
        <w:rPr>
          <w:rFonts w:ascii="Times New Roman" w:hAnsi="Times New Roman" w:cs="Times New Roman"/>
          <w:color w:val="000000"/>
          <w:sz w:val="28"/>
          <w:szCs w:val="28"/>
        </w:rPr>
        <w:softHyphen/>
        <w:t>ditory brain stem evoked response (ABR), which shows the predictable early effects of bilirubin toxicity</w:t>
      </w:r>
      <w:r w:rsidRPr="00052A3E">
        <w:rPr>
          <w:rFonts w:ascii="Times New Roman" w:hAnsi="Times New Roman" w:cs="Times New Roman"/>
          <w:b/>
          <w:bCs/>
          <w:color w:val="000000"/>
          <w:sz w:val="28"/>
          <w:szCs w:val="28"/>
        </w:rPr>
        <w:t>.</w:t>
      </w:r>
      <w:r w:rsidRPr="00052A3E">
        <w:rPr>
          <w:rFonts w:ascii="Times New Roman" w:hAnsi="Times New Roman" w:cs="Times New Roman"/>
          <w:color w:val="000000"/>
          <w:sz w:val="28"/>
          <w:szCs w:val="28"/>
        </w:rPr>
        <w:t xml:space="preserve"> </w:t>
      </w:r>
    </w:p>
    <w:p w:rsidR="00B7354F" w:rsidRPr="00052A3E" w:rsidRDefault="00B7354F" w:rsidP="00CA0D5E">
      <w:pPr>
        <w:bidi w:val="0"/>
        <w:spacing w:line="360" w:lineRule="auto"/>
        <w:jc w:val="both"/>
        <w:rPr>
          <w:sz w:val="28"/>
          <w:szCs w:val="28"/>
          <w:lang w:bidi="ar-EG"/>
        </w:rPr>
      </w:pPr>
      <w:r w:rsidRPr="00052A3E">
        <w:rPr>
          <w:b/>
          <w:bCs/>
          <w:sz w:val="28"/>
          <w:szCs w:val="28"/>
          <w:lang w:bidi="ar-EG"/>
        </w:rPr>
        <w:t xml:space="preserve">Aim: </w:t>
      </w:r>
      <w:r w:rsidRPr="00052A3E">
        <w:rPr>
          <w:sz w:val="28"/>
          <w:szCs w:val="28"/>
          <w:lang w:bidi="ar-EG"/>
        </w:rPr>
        <w:t>This study aims to determine the effect of neonatal hyperbilirubinemia on auditory brainstem response (ABR) and evaluate the effect of treatment of hyperbilirubinemia on ABR findings.</w:t>
      </w:r>
    </w:p>
    <w:p w:rsidR="00B7354F" w:rsidRPr="00052A3E" w:rsidRDefault="00B7354F" w:rsidP="008A38F5">
      <w:pPr>
        <w:pStyle w:val="Pa8"/>
        <w:spacing w:line="360" w:lineRule="auto"/>
        <w:jc w:val="both"/>
        <w:rPr>
          <w:rFonts w:ascii="Times New Roman" w:hAnsi="Times New Roman" w:cs="Times New Roman"/>
          <w:color w:val="000000"/>
          <w:sz w:val="28"/>
          <w:szCs w:val="28"/>
        </w:rPr>
      </w:pPr>
      <w:r>
        <w:rPr>
          <w:rFonts w:ascii="Times New Roman" w:hAnsi="Times New Roman" w:cs="Times New Roman"/>
          <w:b/>
          <w:bCs/>
          <w:sz w:val="28"/>
          <w:szCs w:val="28"/>
          <w:lang w:bidi="ar-EG"/>
        </w:rPr>
        <w:t xml:space="preserve">Subjects </w:t>
      </w:r>
      <w:r w:rsidRPr="00052A3E">
        <w:rPr>
          <w:rFonts w:ascii="Times New Roman" w:hAnsi="Times New Roman" w:cs="Times New Roman"/>
          <w:b/>
          <w:bCs/>
          <w:sz w:val="28"/>
          <w:szCs w:val="28"/>
          <w:lang w:bidi="ar-EG"/>
        </w:rPr>
        <w:t>and Methods:</w:t>
      </w:r>
      <w:r w:rsidRPr="00052A3E">
        <w:rPr>
          <w:rFonts w:ascii="Times New Roman" w:hAnsi="Times New Roman" w:cs="Times New Roman"/>
          <w:color w:val="000000"/>
          <w:sz w:val="28"/>
          <w:szCs w:val="28"/>
        </w:rPr>
        <w:t xml:space="preserve"> This case-control study was performed on</w:t>
      </w:r>
      <w:r w:rsidRPr="00052A3E">
        <w:rPr>
          <w:rFonts w:ascii="Times New Roman" w:hAnsi="Times New Roman" w:cs="Times New Roman"/>
          <w:sz w:val="28"/>
          <w:szCs w:val="28"/>
        </w:rPr>
        <w:t>30 neonates</w:t>
      </w:r>
      <w:r w:rsidRPr="00052A3E">
        <w:rPr>
          <w:rFonts w:ascii="Times New Roman" w:hAnsi="Times New Roman" w:cs="Times New Roman"/>
          <w:color w:val="000000"/>
          <w:sz w:val="28"/>
          <w:szCs w:val="28"/>
        </w:rPr>
        <w:t xml:space="preserve"> with pathologic hyperbilirubinemia as the jaundiced group</w:t>
      </w:r>
      <w:r w:rsidRPr="00052A3E">
        <w:rPr>
          <w:rFonts w:ascii="Times New Roman" w:hAnsi="Times New Roman" w:cs="Times New Roman"/>
          <w:b/>
          <w:bCs/>
          <w:sz w:val="28"/>
          <w:szCs w:val="28"/>
          <w:lang w:bidi="ar-EG"/>
        </w:rPr>
        <w:t xml:space="preserve"> </w:t>
      </w:r>
      <w:r w:rsidRPr="00052A3E">
        <w:rPr>
          <w:rFonts w:ascii="Times New Roman" w:hAnsi="Times New Roman" w:cs="Times New Roman"/>
          <w:sz w:val="28"/>
          <w:szCs w:val="28"/>
          <w:lang w:bidi="ar-EG"/>
        </w:rPr>
        <w:t>chosen from Neonatal Intensive Care Unit of AL Zahraa Hospital of</w:t>
      </w:r>
      <w:r w:rsidRPr="00052A3E">
        <w:rPr>
          <w:rFonts w:ascii="Times New Roman" w:hAnsi="Times New Roman" w:cs="Times New Roman"/>
          <w:sz w:val="28"/>
          <w:szCs w:val="28"/>
        </w:rPr>
        <w:t xml:space="preserve"> Al-Azhar University and</w:t>
      </w:r>
      <w:r w:rsidRPr="00052A3E">
        <w:rPr>
          <w:rFonts w:ascii="Times New Roman" w:hAnsi="Times New Roman" w:cs="Times New Roman"/>
          <w:sz w:val="28"/>
          <w:szCs w:val="28"/>
          <w:lang w:bidi="ar-EG"/>
        </w:rPr>
        <w:t xml:space="preserve"> 20 </w:t>
      </w:r>
      <w:r w:rsidRPr="00052A3E">
        <w:rPr>
          <w:rFonts w:ascii="Times New Roman" w:hAnsi="Times New Roman" w:cs="Times New Roman"/>
          <w:color w:val="000000"/>
          <w:sz w:val="28"/>
          <w:szCs w:val="28"/>
        </w:rPr>
        <w:t>healthy neonates as the control group</w:t>
      </w:r>
      <w:r w:rsidRPr="00052A3E">
        <w:rPr>
          <w:rFonts w:ascii="Times New Roman" w:hAnsi="Times New Roman" w:cs="Times New Roman"/>
          <w:sz w:val="28"/>
          <w:szCs w:val="28"/>
          <w:lang w:bidi="ar-EG"/>
        </w:rPr>
        <w:t xml:space="preserve"> chosen from Maternity department of the same hospital during the period from September</w:t>
      </w:r>
      <w:r>
        <w:rPr>
          <w:rFonts w:ascii="Times New Roman" w:hAnsi="Times New Roman" w:cs="Times New Roman"/>
          <w:sz w:val="28"/>
          <w:szCs w:val="28"/>
          <w:lang w:bidi="ar-EG"/>
        </w:rPr>
        <w:t>,</w:t>
      </w:r>
      <w:r w:rsidRPr="00052A3E">
        <w:rPr>
          <w:rFonts w:ascii="Times New Roman" w:hAnsi="Times New Roman" w:cs="Times New Roman"/>
          <w:sz w:val="28"/>
          <w:szCs w:val="28"/>
          <w:lang w:bidi="ar-EG"/>
        </w:rPr>
        <w:t xml:space="preserve"> 2011 to August</w:t>
      </w:r>
      <w:r>
        <w:rPr>
          <w:rFonts w:ascii="Times New Roman" w:hAnsi="Times New Roman" w:cs="Times New Roman"/>
          <w:sz w:val="28"/>
          <w:szCs w:val="28"/>
          <w:lang w:bidi="ar-EG"/>
        </w:rPr>
        <w:t>,</w:t>
      </w:r>
      <w:r w:rsidRPr="00052A3E">
        <w:rPr>
          <w:rFonts w:ascii="Times New Roman" w:hAnsi="Times New Roman" w:cs="Times New Roman"/>
          <w:sz w:val="28"/>
          <w:szCs w:val="28"/>
          <w:lang w:bidi="ar-EG"/>
        </w:rPr>
        <w:t xml:space="preserve"> 2012.</w:t>
      </w:r>
      <w:r w:rsidRPr="00052A3E">
        <w:rPr>
          <w:rFonts w:ascii="Times New Roman" w:hAnsi="Times New Roman" w:cs="Times New Roman"/>
          <w:color w:val="000000"/>
          <w:sz w:val="28"/>
          <w:szCs w:val="28"/>
        </w:rPr>
        <w:t xml:space="preserve"> ABR was performed on both groups. The evaluated variable factors were latency </w:t>
      </w:r>
      <w:r>
        <w:rPr>
          <w:rFonts w:ascii="Times New Roman" w:hAnsi="Times New Roman" w:cs="Times New Roman"/>
          <w:color w:val="000000"/>
          <w:sz w:val="28"/>
          <w:szCs w:val="28"/>
        </w:rPr>
        <w:t>time, inter peak intervals time.</w:t>
      </w:r>
    </w:p>
    <w:p w:rsidR="00B7354F" w:rsidRPr="00052A3E" w:rsidRDefault="00B7354F" w:rsidP="00CA0D5E">
      <w:pPr>
        <w:autoSpaceDE w:val="0"/>
        <w:autoSpaceDN w:val="0"/>
        <w:bidi w:val="0"/>
        <w:adjustRightInd w:val="0"/>
        <w:spacing w:line="360" w:lineRule="auto"/>
        <w:jc w:val="both"/>
        <w:rPr>
          <w:b/>
          <w:bCs/>
          <w:sz w:val="28"/>
          <w:szCs w:val="28"/>
          <w:lang w:bidi="ar-EG"/>
        </w:rPr>
      </w:pPr>
      <w:r w:rsidRPr="00052A3E">
        <w:rPr>
          <w:b/>
          <w:bCs/>
          <w:color w:val="000000"/>
          <w:sz w:val="28"/>
          <w:szCs w:val="28"/>
        </w:rPr>
        <w:t xml:space="preserve">Results: </w:t>
      </w:r>
      <w:r w:rsidRPr="00052A3E">
        <w:rPr>
          <w:color w:val="000000"/>
          <w:sz w:val="28"/>
          <w:szCs w:val="28"/>
        </w:rPr>
        <w:t xml:space="preserve">The mean latencies of waves I, III and V of ABR were significantly higher in the pathologic hyperbilirubinemia group </w:t>
      </w:r>
      <w:r>
        <w:rPr>
          <w:color w:val="000000"/>
          <w:sz w:val="28"/>
          <w:szCs w:val="28"/>
        </w:rPr>
        <w:t xml:space="preserve">as </w:t>
      </w:r>
      <w:r w:rsidRPr="00052A3E">
        <w:rPr>
          <w:color w:val="000000"/>
          <w:sz w:val="28"/>
          <w:szCs w:val="28"/>
        </w:rPr>
        <w:t>compared with the co</w:t>
      </w:r>
      <w:r>
        <w:rPr>
          <w:color w:val="000000"/>
          <w:sz w:val="28"/>
          <w:szCs w:val="28"/>
        </w:rPr>
        <w:t>ntrols  and</w:t>
      </w:r>
      <w:r w:rsidRPr="00052A3E">
        <w:rPr>
          <w:color w:val="000000"/>
          <w:sz w:val="28"/>
          <w:szCs w:val="28"/>
        </w:rPr>
        <w:t xml:space="preserve"> the mean interpeak intervals (IPI) of waves I-III, I-V and III-V of ABR were significantly higher in the pathologic hyperbilirubinemia group</w:t>
      </w:r>
      <w:r>
        <w:rPr>
          <w:color w:val="000000"/>
          <w:sz w:val="28"/>
          <w:szCs w:val="28"/>
        </w:rPr>
        <w:t xml:space="preserve"> as</w:t>
      </w:r>
      <w:r w:rsidRPr="00052A3E">
        <w:rPr>
          <w:color w:val="000000"/>
          <w:sz w:val="28"/>
          <w:szCs w:val="28"/>
        </w:rPr>
        <w:t xml:space="preserve"> com</w:t>
      </w:r>
      <w:r>
        <w:rPr>
          <w:color w:val="000000"/>
          <w:sz w:val="28"/>
          <w:szCs w:val="28"/>
        </w:rPr>
        <w:t>pared with the controls</w:t>
      </w:r>
      <w:r w:rsidRPr="00052A3E">
        <w:rPr>
          <w:color w:val="000000"/>
          <w:sz w:val="28"/>
          <w:szCs w:val="28"/>
        </w:rPr>
        <w:t xml:space="preserve">. A </w:t>
      </w:r>
      <w:r w:rsidRPr="00052A3E">
        <w:rPr>
          <w:sz w:val="28"/>
          <w:szCs w:val="28"/>
        </w:rPr>
        <w:t>total reversibility to normal thresholds ( normal hearing) was displayed by  23 (77.00%) and 25 (83.30%) of jaundiced neonates in the right and left ears respectively, while the remaining  7 (23.00%) and 5 (16.70%) of jaundiced neonates displayed partial reversibility (mild to moderate hearing loss) in the right and left ears respectively (p &lt; 0.001)</w:t>
      </w:r>
    </w:p>
    <w:p w:rsidR="00B7354F" w:rsidRDefault="00B7354F" w:rsidP="008A38F5">
      <w:pPr>
        <w:bidi w:val="0"/>
        <w:spacing w:line="360" w:lineRule="auto"/>
        <w:jc w:val="both"/>
        <w:rPr>
          <w:sz w:val="28"/>
          <w:szCs w:val="28"/>
        </w:rPr>
      </w:pPr>
      <w:r w:rsidRPr="00052A3E">
        <w:rPr>
          <w:b/>
          <w:bCs/>
          <w:sz w:val="28"/>
          <w:szCs w:val="28"/>
        </w:rPr>
        <w:t>Conclusions</w:t>
      </w:r>
      <w:r w:rsidRPr="00052A3E">
        <w:rPr>
          <w:sz w:val="28"/>
          <w:szCs w:val="28"/>
        </w:rPr>
        <w:t>; About 90% of neonates</w:t>
      </w:r>
      <w:r w:rsidRPr="00052A3E">
        <w:rPr>
          <w:color w:val="000000"/>
          <w:sz w:val="28"/>
          <w:szCs w:val="28"/>
        </w:rPr>
        <w:t xml:space="preserve"> with pathologic hyperbilirubinemia</w:t>
      </w:r>
      <w:r w:rsidRPr="00052A3E">
        <w:rPr>
          <w:sz w:val="28"/>
          <w:szCs w:val="28"/>
        </w:rPr>
        <w:t xml:space="preserve"> demonstrate ABR changes. Most of these changes (about 77%) revert to normal early after therapy</w:t>
      </w:r>
      <w:r>
        <w:rPr>
          <w:sz w:val="28"/>
          <w:szCs w:val="28"/>
        </w:rPr>
        <w:t>.</w:t>
      </w:r>
    </w:p>
    <w:p w:rsidR="00B7354F" w:rsidRPr="00D57563" w:rsidRDefault="00B7354F" w:rsidP="008A38F5">
      <w:pPr>
        <w:bidi w:val="0"/>
        <w:spacing w:line="360" w:lineRule="auto"/>
        <w:jc w:val="both"/>
        <w:rPr>
          <w:b/>
          <w:bCs/>
          <w:color w:val="000000"/>
          <w:sz w:val="32"/>
          <w:szCs w:val="32"/>
        </w:rPr>
      </w:pPr>
      <w:r w:rsidRPr="00D57563">
        <w:rPr>
          <w:b/>
          <w:bCs/>
          <w:color w:val="000000"/>
          <w:sz w:val="28"/>
          <w:szCs w:val="28"/>
        </w:rPr>
        <w:t xml:space="preserve"> Keywords</w:t>
      </w:r>
      <w:r w:rsidRPr="00D57563">
        <w:rPr>
          <w:b/>
          <w:bCs/>
          <w:color w:val="000000"/>
          <w:sz w:val="32"/>
          <w:szCs w:val="32"/>
        </w:rPr>
        <w:t>:</w:t>
      </w:r>
      <w:r>
        <w:rPr>
          <w:b/>
          <w:bCs/>
          <w:color w:val="000000"/>
          <w:sz w:val="32"/>
          <w:szCs w:val="32"/>
        </w:rPr>
        <w:t xml:space="preserve"> </w:t>
      </w:r>
      <w:r>
        <w:rPr>
          <w:color w:val="000000"/>
          <w:sz w:val="28"/>
          <w:szCs w:val="28"/>
        </w:rPr>
        <w:t>Neonates</w:t>
      </w:r>
      <w:r w:rsidRPr="00D57563">
        <w:rPr>
          <w:color w:val="000000"/>
          <w:sz w:val="28"/>
          <w:szCs w:val="28"/>
        </w:rPr>
        <w:t>; Bilirubin; Hyperbilirubin</w:t>
      </w:r>
      <w:r>
        <w:rPr>
          <w:color w:val="000000"/>
          <w:sz w:val="28"/>
          <w:szCs w:val="28"/>
        </w:rPr>
        <w:t>emia; Auditory Brain-Stem</w:t>
      </w:r>
      <w:r w:rsidRPr="00D57563">
        <w:rPr>
          <w:color w:val="000000"/>
          <w:sz w:val="28"/>
          <w:szCs w:val="28"/>
        </w:rPr>
        <w:t xml:space="preserve"> Response</w:t>
      </w:r>
    </w:p>
    <w:p w:rsidR="00B7354F" w:rsidRPr="00052A3E" w:rsidRDefault="00B7354F" w:rsidP="00CA0D5E">
      <w:pPr>
        <w:bidi w:val="0"/>
        <w:spacing w:line="360" w:lineRule="auto"/>
        <w:jc w:val="both"/>
        <w:rPr>
          <w:b/>
          <w:bCs/>
          <w:sz w:val="28"/>
          <w:szCs w:val="28"/>
          <w:u w:val="single"/>
          <w:rtl/>
          <w:lang w:bidi="ar-EG"/>
        </w:rPr>
      </w:pPr>
      <w:r w:rsidRPr="00052A3E">
        <w:rPr>
          <w:b/>
          <w:bCs/>
          <w:sz w:val="28"/>
          <w:szCs w:val="28"/>
          <w:u w:val="single"/>
          <w:lang w:bidi="ar-EG"/>
        </w:rPr>
        <w:t>Introduction</w:t>
      </w:r>
    </w:p>
    <w:p w:rsidR="00B7354F" w:rsidRPr="00052A3E" w:rsidRDefault="00B7354F" w:rsidP="00CA0D5E">
      <w:pPr>
        <w:bidi w:val="0"/>
        <w:spacing w:line="360" w:lineRule="auto"/>
        <w:ind w:firstLine="720"/>
        <w:jc w:val="both"/>
        <w:rPr>
          <w:sz w:val="28"/>
          <w:szCs w:val="28"/>
        </w:rPr>
      </w:pPr>
      <w:r w:rsidRPr="00052A3E">
        <w:rPr>
          <w:sz w:val="28"/>
          <w:szCs w:val="28"/>
        </w:rPr>
        <w:t>Hyperbilirubinemia is the most common condition that requires medical attention in newborns. The yellow coloration of the skin and sclera in newborns with jaundice is the result of accumulation of unconjugated bilirubin. In most infants, unconjugated hyperbilirubinemia reflects a normal transitional phenomenon. However, in some infants, serum bilirubin levels may excessively raise, which can be cause for concern</w:t>
      </w:r>
      <w:r w:rsidRPr="00052A3E">
        <w:rPr>
          <w:b/>
          <w:bCs/>
          <w:sz w:val="28"/>
          <w:szCs w:val="28"/>
        </w:rPr>
        <w:t xml:space="preserve"> (Hansen, 2014).</w:t>
      </w:r>
    </w:p>
    <w:p w:rsidR="00B7354F" w:rsidRPr="00D57563" w:rsidRDefault="00B7354F" w:rsidP="00CA0D5E">
      <w:pPr>
        <w:bidi w:val="0"/>
        <w:spacing w:line="360" w:lineRule="auto"/>
        <w:ind w:firstLine="720"/>
        <w:jc w:val="both"/>
        <w:rPr>
          <w:b/>
          <w:bCs/>
          <w:sz w:val="28"/>
          <w:szCs w:val="28"/>
        </w:rPr>
      </w:pPr>
      <w:r w:rsidRPr="00052A3E">
        <w:rPr>
          <w:color w:val="000000"/>
          <w:sz w:val="28"/>
          <w:szCs w:val="28"/>
        </w:rPr>
        <w:t>Indirect bilirubin, the main cause of neonatal jaun</w:t>
      </w:r>
      <w:r w:rsidRPr="00052A3E">
        <w:rPr>
          <w:color w:val="000000"/>
          <w:sz w:val="28"/>
          <w:szCs w:val="28"/>
        </w:rPr>
        <w:softHyphen/>
        <w:t>dice, is strongly neurotoxic for underdevelopment neural system, especially when the indirect bilirubin concentration exceeds the albumin binding capac</w:t>
      </w:r>
      <w:r w:rsidRPr="00052A3E">
        <w:rPr>
          <w:color w:val="000000"/>
          <w:sz w:val="28"/>
          <w:szCs w:val="28"/>
        </w:rPr>
        <w:softHyphen/>
        <w:t>ity. Unconjugated bilirubin binds the phospholipids of neuronal plasma membranes as well as the phospho</w:t>
      </w:r>
      <w:r w:rsidRPr="00052A3E">
        <w:rPr>
          <w:color w:val="000000"/>
          <w:sz w:val="28"/>
          <w:szCs w:val="28"/>
        </w:rPr>
        <w:softHyphen/>
        <w:t>lipids of subcellular organelles membrane, which leads to cell oxygen deprivation, energy metabolism impair</w:t>
      </w:r>
      <w:r w:rsidRPr="00052A3E">
        <w:rPr>
          <w:color w:val="000000"/>
          <w:sz w:val="28"/>
          <w:szCs w:val="28"/>
        </w:rPr>
        <w:softHyphen/>
        <w:t>ment, and cell death. The phenomenon of deposited indirect bilirubin in basal ganglia as well as in the vesti</w:t>
      </w:r>
      <w:r w:rsidRPr="00052A3E">
        <w:rPr>
          <w:color w:val="000000"/>
          <w:sz w:val="28"/>
          <w:szCs w:val="28"/>
        </w:rPr>
        <w:softHyphen/>
        <w:t>bule-cochlear nucleus causes a neurological syndrome called kernicterus as well as sensorineural hearing loss</w:t>
      </w:r>
      <w:r>
        <w:rPr>
          <w:color w:val="000000"/>
          <w:sz w:val="28"/>
          <w:szCs w:val="28"/>
        </w:rPr>
        <w:t>.</w:t>
      </w:r>
      <w:r w:rsidRPr="00052A3E">
        <w:rPr>
          <w:color w:val="000000"/>
          <w:sz w:val="28"/>
          <w:szCs w:val="28"/>
        </w:rPr>
        <w:t xml:space="preserve"> Currently, the most sensitive means of assessing neurotoxicity may be au</w:t>
      </w:r>
      <w:r w:rsidRPr="00052A3E">
        <w:rPr>
          <w:color w:val="000000"/>
          <w:sz w:val="28"/>
          <w:szCs w:val="28"/>
        </w:rPr>
        <w:softHyphen/>
        <w:t xml:space="preserve">ditory brain stem evoked response (ABR), which shows the predictable early effects of bilirubin toxicity </w:t>
      </w:r>
      <w:r w:rsidRPr="00052A3E">
        <w:rPr>
          <w:b/>
          <w:bCs/>
          <w:color w:val="000000"/>
          <w:sz w:val="28"/>
          <w:szCs w:val="28"/>
        </w:rPr>
        <w:t>(</w:t>
      </w:r>
      <w:r w:rsidRPr="00052A3E">
        <w:rPr>
          <w:b/>
          <w:bCs/>
          <w:sz w:val="28"/>
          <w:szCs w:val="28"/>
        </w:rPr>
        <w:t>Thilo&amp; Rosenberg, 2011)</w:t>
      </w:r>
      <w:r w:rsidRPr="00052A3E">
        <w:rPr>
          <w:b/>
          <w:bCs/>
          <w:color w:val="000000"/>
          <w:sz w:val="28"/>
          <w:szCs w:val="28"/>
        </w:rPr>
        <w:t>.</w:t>
      </w:r>
      <w:r w:rsidRPr="00052A3E">
        <w:rPr>
          <w:color w:val="000000"/>
          <w:sz w:val="28"/>
          <w:szCs w:val="28"/>
        </w:rPr>
        <w:t xml:space="preserve">. </w:t>
      </w:r>
    </w:p>
    <w:p w:rsidR="00B7354F" w:rsidRDefault="00B7354F" w:rsidP="00CA0D5E">
      <w:pPr>
        <w:bidi w:val="0"/>
        <w:spacing w:line="360" w:lineRule="auto"/>
        <w:ind w:firstLine="720"/>
        <w:jc w:val="both"/>
        <w:rPr>
          <w:sz w:val="28"/>
          <w:szCs w:val="28"/>
          <w:lang w:bidi="ar-EG"/>
        </w:rPr>
      </w:pPr>
      <w:r w:rsidRPr="00052A3E">
        <w:rPr>
          <w:color w:val="000000"/>
          <w:sz w:val="28"/>
          <w:szCs w:val="28"/>
        </w:rPr>
        <w:t>Early di</w:t>
      </w:r>
      <w:r w:rsidRPr="00052A3E">
        <w:rPr>
          <w:color w:val="000000"/>
          <w:sz w:val="28"/>
          <w:szCs w:val="28"/>
        </w:rPr>
        <w:softHyphen/>
        <w:t>agnosis and treatment of hyperbilirubinemia is highly important for preventing hearing loss and all newborns with pathologic hyperbilirubinemia must be screened. ABR abnormalities may be transient in majority of pa</w:t>
      </w:r>
      <w:r w:rsidRPr="00052A3E">
        <w:rPr>
          <w:color w:val="000000"/>
          <w:sz w:val="28"/>
          <w:szCs w:val="28"/>
        </w:rPr>
        <w:softHyphen/>
        <w:t xml:space="preserve">tients </w:t>
      </w:r>
      <w:r w:rsidRPr="00052A3E">
        <w:rPr>
          <w:b/>
          <w:bCs/>
          <w:color w:val="000000"/>
          <w:sz w:val="28"/>
          <w:szCs w:val="28"/>
        </w:rPr>
        <w:t>(Okhravi et al., 2015)</w:t>
      </w:r>
    </w:p>
    <w:p w:rsidR="00B7354F" w:rsidRPr="00974A83" w:rsidRDefault="00B7354F" w:rsidP="00CA0D5E">
      <w:pPr>
        <w:bidi w:val="0"/>
        <w:spacing w:line="360" w:lineRule="auto"/>
        <w:jc w:val="both"/>
        <w:rPr>
          <w:b/>
          <w:bCs/>
          <w:sz w:val="28"/>
          <w:szCs w:val="28"/>
          <w:u w:val="single"/>
          <w:lang w:bidi="ar-EG"/>
        </w:rPr>
      </w:pPr>
      <w:r w:rsidRPr="00974A83">
        <w:rPr>
          <w:b/>
          <w:bCs/>
          <w:color w:val="000000"/>
          <w:sz w:val="28"/>
          <w:szCs w:val="28"/>
          <w:u w:val="single"/>
        </w:rPr>
        <w:t>Objective:</w:t>
      </w:r>
      <w:r>
        <w:rPr>
          <w:sz w:val="28"/>
          <w:szCs w:val="28"/>
          <w:lang w:bidi="ar-EG"/>
        </w:rPr>
        <w:t xml:space="preserve"> </w:t>
      </w:r>
      <w:r w:rsidRPr="00052A3E">
        <w:rPr>
          <w:sz w:val="28"/>
          <w:szCs w:val="28"/>
          <w:lang w:bidi="ar-EG"/>
        </w:rPr>
        <w:t>This study aims to determine the effect of neonatal hyperbilirubinemia on auditory brainstem response (ABR) and evaluate the effect of treatment of hyperbilirubinemia on ABR findings.</w:t>
      </w:r>
    </w:p>
    <w:p w:rsidR="00B7354F" w:rsidRPr="00052A3E" w:rsidRDefault="00B7354F" w:rsidP="00CA0D5E">
      <w:pPr>
        <w:shd w:val="clear" w:color="auto" w:fill="FFFFFF"/>
        <w:bidi w:val="0"/>
        <w:spacing w:line="360" w:lineRule="auto"/>
        <w:jc w:val="both"/>
        <w:rPr>
          <w:b/>
          <w:bCs/>
          <w:sz w:val="28"/>
          <w:szCs w:val="28"/>
          <w:u w:val="single"/>
        </w:rPr>
      </w:pPr>
      <w:r>
        <w:rPr>
          <w:b/>
          <w:bCs/>
          <w:sz w:val="28"/>
          <w:szCs w:val="28"/>
          <w:u w:val="single"/>
        </w:rPr>
        <w:t>Subjects a</w:t>
      </w:r>
      <w:r w:rsidRPr="00052A3E">
        <w:rPr>
          <w:b/>
          <w:bCs/>
          <w:sz w:val="28"/>
          <w:szCs w:val="28"/>
          <w:u w:val="single"/>
        </w:rPr>
        <w:t>nd Methods</w:t>
      </w:r>
    </w:p>
    <w:p w:rsidR="00B7354F" w:rsidRPr="00974A83" w:rsidRDefault="00B7354F" w:rsidP="00CA0D5E">
      <w:pPr>
        <w:shd w:val="clear" w:color="auto" w:fill="FFFFFF"/>
        <w:bidi w:val="0"/>
        <w:spacing w:line="360" w:lineRule="auto"/>
        <w:jc w:val="both"/>
        <w:rPr>
          <w:b/>
          <w:bCs/>
          <w:sz w:val="28"/>
          <w:szCs w:val="28"/>
          <w:u w:val="single"/>
        </w:rPr>
      </w:pPr>
      <w:r w:rsidRPr="00974A83">
        <w:rPr>
          <w:b/>
          <w:bCs/>
          <w:sz w:val="28"/>
          <w:szCs w:val="28"/>
          <w:u w:val="single"/>
        </w:rPr>
        <w:t>Subjects:</w:t>
      </w:r>
    </w:p>
    <w:p w:rsidR="00B7354F" w:rsidRPr="00052A3E" w:rsidRDefault="00B7354F" w:rsidP="00CA0D5E">
      <w:pPr>
        <w:shd w:val="clear" w:color="auto" w:fill="FFFFFF"/>
        <w:bidi w:val="0"/>
        <w:spacing w:line="360" w:lineRule="auto"/>
        <w:ind w:firstLine="720"/>
        <w:jc w:val="both"/>
        <w:rPr>
          <w:b/>
          <w:bCs/>
          <w:sz w:val="28"/>
          <w:szCs w:val="28"/>
        </w:rPr>
      </w:pPr>
      <w:r w:rsidRPr="00052A3E">
        <w:rPr>
          <w:color w:val="000000"/>
          <w:sz w:val="28"/>
          <w:szCs w:val="28"/>
        </w:rPr>
        <w:t>This case-control study was performed on</w:t>
      </w:r>
      <w:r>
        <w:rPr>
          <w:color w:val="000000"/>
          <w:sz w:val="28"/>
          <w:szCs w:val="28"/>
        </w:rPr>
        <w:t xml:space="preserve"> </w:t>
      </w:r>
      <w:r w:rsidRPr="00052A3E">
        <w:rPr>
          <w:sz w:val="28"/>
          <w:szCs w:val="28"/>
        </w:rPr>
        <w:t>30 neonates</w:t>
      </w:r>
      <w:r w:rsidRPr="00052A3E">
        <w:rPr>
          <w:color w:val="000000"/>
          <w:sz w:val="28"/>
          <w:szCs w:val="28"/>
        </w:rPr>
        <w:t xml:space="preserve"> with pathologic hyperbilirubinemia as the jaundiced group</w:t>
      </w:r>
      <w:r w:rsidRPr="00052A3E">
        <w:rPr>
          <w:b/>
          <w:bCs/>
          <w:sz w:val="28"/>
          <w:szCs w:val="28"/>
          <w:lang w:bidi="ar-EG"/>
        </w:rPr>
        <w:t xml:space="preserve"> </w:t>
      </w:r>
      <w:r w:rsidRPr="00052A3E">
        <w:rPr>
          <w:sz w:val="28"/>
          <w:szCs w:val="28"/>
          <w:lang w:bidi="ar-EG"/>
        </w:rPr>
        <w:t>chosen from Neonatal Intensive Care Unit of AL Zahraa Hospital of</w:t>
      </w:r>
      <w:r w:rsidRPr="00052A3E">
        <w:rPr>
          <w:sz w:val="28"/>
          <w:szCs w:val="28"/>
        </w:rPr>
        <w:t xml:space="preserve"> Al-Azhar University and</w:t>
      </w:r>
      <w:r w:rsidRPr="00052A3E">
        <w:rPr>
          <w:sz w:val="28"/>
          <w:szCs w:val="28"/>
          <w:lang w:bidi="ar-EG"/>
        </w:rPr>
        <w:t xml:space="preserve"> 20 </w:t>
      </w:r>
      <w:r w:rsidRPr="00052A3E">
        <w:rPr>
          <w:color w:val="000000"/>
          <w:sz w:val="28"/>
          <w:szCs w:val="28"/>
        </w:rPr>
        <w:t>healthy neonates as the control group</w:t>
      </w:r>
      <w:r w:rsidRPr="00052A3E">
        <w:rPr>
          <w:sz w:val="28"/>
          <w:szCs w:val="28"/>
          <w:lang w:bidi="ar-EG"/>
        </w:rPr>
        <w:t xml:space="preserve"> chosen from Maternity department of the same hospital during the period from September</w:t>
      </w:r>
      <w:r>
        <w:rPr>
          <w:sz w:val="28"/>
          <w:szCs w:val="28"/>
          <w:lang w:bidi="ar-EG"/>
        </w:rPr>
        <w:t>,</w:t>
      </w:r>
      <w:r w:rsidRPr="00052A3E">
        <w:rPr>
          <w:sz w:val="28"/>
          <w:szCs w:val="28"/>
          <w:lang w:bidi="ar-EG"/>
        </w:rPr>
        <w:t xml:space="preserve"> 2011 to August</w:t>
      </w:r>
      <w:r>
        <w:rPr>
          <w:sz w:val="28"/>
          <w:szCs w:val="28"/>
          <w:lang w:bidi="ar-EG"/>
        </w:rPr>
        <w:t>,</w:t>
      </w:r>
      <w:r w:rsidRPr="00052A3E">
        <w:rPr>
          <w:sz w:val="28"/>
          <w:szCs w:val="28"/>
          <w:lang w:bidi="ar-EG"/>
        </w:rPr>
        <w:t xml:space="preserve"> 2012.</w:t>
      </w:r>
    </w:p>
    <w:p w:rsidR="00B7354F" w:rsidRPr="00052A3E" w:rsidRDefault="00B7354F" w:rsidP="00CA0D5E">
      <w:pPr>
        <w:shd w:val="clear" w:color="auto" w:fill="FFFFFF"/>
        <w:bidi w:val="0"/>
        <w:spacing w:line="360" w:lineRule="auto"/>
        <w:jc w:val="both"/>
        <w:rPr>
          <w:b/>
          <w:bCs/>
          <w:sz w:val="28"/>
          <w:szCs w:val="28"/>
        </w:rPr>
      </w:pPr>
      <w:r w:rsidRPr="00052A3E">
        <w:rPr>
          <w:b/>
          <w:bCs/>
          <w:sz w:val="28"/>
          <w:szCs w:val="28"/>
        </w:rPr>
        <w:t>1-Control group or group of healthy neonates:</w:t>
      </w:r>
    </w:p>
    <w:p w:rsidR="00B7354F" w:rsidRPr="00052A3E" w:rsidRDefault="00B7354F" w:rsidP="00CA0D5E">
      <w:pPr>
        <w:shd w:val="clear" w:color="auto" w:fill="FFFFFF"/>
        <w:bidi w:val="0"/>
        <w:spacing w:line="360" w:lineRule="auto"/>
        <w:jc w:val="both"/>
        <w:rPr>
          <w:sz w:val="28"/>
          <w:szCs w:val="28"/>
        </w:rPr>
      </w:pPr>
      <w:r>
        <w:rPr>
          <w:sz w:val="28"/>
          <w:szCs w:val="28"/>
        </w:rPr>
        <w:t xml:space="preserve">    </w:t>
      </w:r>
      <w:r w:rsidRPr="00052A3E">
        <w:rPr>
          <w:sz w:val="28"/>
          <w:szCs w:val="28"/>
        </w:rPr>
        <w:t>This group included 20 neonates (40 ears w</w:t>
      </w:r>
      <w:r>
        <w:rPr>
          <w:sz w:val="28"/>
          <w:szCs w:val="28"/>
        </w:rPr>
        <w:t xml:space="preserve">ere examined), 14 males and 6 </w:t>
      </w:r>
      <w:r w:rsidRPr="00052A3E">
        <w:rPr>
          <w:sz w:val="28"/>
          <w:szCs w:val="28"/>
        </w:rPr>
        <w:t>females. Birth weight ranged from 2000 to 4000 grams.</w:t>
      </w:r>
    </w:p>
    <w:p w:rsidR="00B7354F" w:rsidRPr="00052A3E" w:rsidRDefault="00B7354F" w:rsidP="00CA0D5E">
      <w:pPr>
        <w:shd w:val="clear" w:color="auto" w:fill="FFFFFF"/>
        <w:bidi w:val="0"/>
        <w:spacing w:line="360" w:lineRule="auto"/>
        <w:jc w:val="both"/>
        <w:rPr>
          <w:sz w:val="28"/>
          <w:szCs w:val="28"/>
        </w:rPr>
      </w:pPr>
      <w:r w:rsidRPr="00052A3E">
        <w:rPr>
          <w:b/>
          <w:bCs/>
          <w:sz w:val="28"/>
          <w:szCs w:val="28"/>
        </w:rPr>
        <w:t xml:space="preserve"> </w:t>
      </w:r>
      <w:r w:rsidRPr="00052A3E">
        <w:rPr>
          <w:sz w:val="28"/>
          <w:szCs w:val="28"/>
        </w:rPr>
        <w:t>They were delivered normally or by cesarean section (CS) at the Maternity Department in Al Zahraa Hospital. They were not considered at risk of hearing impairment, according to the selected criteria of high risk registers (i.e., normal prenatal history, normal bilirubin level, and no history of craniofacial  anomalies, congenital infections (TORCH), bacterial meningitis, prolonged mechanical ventilation for &gt;10 days or birth weight &lt;1500 grams).</w:t>
      </w:r>
    </w:p>
    <w:p w:rsidR="00B7354F" w:rsidRDefault="00B7354F" w:rsidP="00CA0D5E">
      <w:pPr>
        <w:shd w:val="clear" w:color="auto" w:fill="FFFFFF"/>
        <w:bidi w:val="0"/>
        <w:spacing w:line="360" w:lineRule="auto"/>
        <w:jc w:val="both"/>
        <w:rPr>
          <w:sz w:val="28"/>
          <w:szCs w:val="28"/>
        </w:rPr>
      </w:pPr>
      <w:r w:rsidRPr="00052A3E">
        <w:rPr>
          <w:sz w:val="28"/>
          <w:szCs w:val="28"/>
        </w:rPr>
        <w:t xml:space="preserve">    All the newborns were examined by transcutaneous bilirubin technique and auditory brainstem response (ABR) audiometry between 1st and 7</w:t>
      </w:r>
      <w:r w:rsidRPr="00052A3E">
        <w:rPr>
          <w:sz w:val="28"/>
          <w:szCs w:val="28"/>
          <w:vertAlign w:val="superscript"/>
        </w:rPr>
        <w:t>th</w:t>
      </w:r>
      <w:r w:rsidRPr="00052A3E">
        <w:rPr>
          <w:sz w:val="28"/>
          <w:szCs w:val="28"/>
        </w:rPr>
        <w:t xml:space="preserve"> day of life. </w:t>
      </w:r>
    </w:p>
    <w:p w:rsidR="00B7354F" w:rsidRDefault="00B7354F" w:rsidP="00CA0D5E">
      <w:pPr>
        <w:shd w:val="clear" w:color="auto" w:fill="FFFFFF"/>
        <w:bidi w:val="0"/>
        <w:spacing w:line="360" w:lineRule="auto"/>
        <w:jc w:val="both"/>
        <w:rPr>
          <w:b/>
          <w:bCs/>
          <w:sz w:val="28"/>
          <w:szCs w:val="28"/>
        </w:rPr>
      </w:pPr>
      <w:r w:rsidRPr="00052A3E">
        <w:rPr>
          <w:b/>
          <w:bCs/>
          <w:sz w:val="28"/>
          <w:szCs w:val="28"/>
        </w:rPr>
        <w:t>2-Group of neonate</w:t>
      </w:r>
      <w:r>
        <w:rPr>
          <w:b/>
          <w:bCs/>
          <w:sz w:val="28"/>
          <w:szCs w:val="28"/>
        </w:rPr>
        <w:t>s with hyperbilirubinemia:</w:t>
      </w:r>
    </w:p>
    <w:p w:rsidR="00B7354F" w:rsidRDefault="00B7354F" w:rsidP="003E6FDC">
      <w:pPr>
        <w:shd w:val="clear" w:color="auto" w:fill="FFFFFF"/>
        <w:bidi w:val="0"/>
        <w:spacing w:line="360" w:lineRule="auto"/>
        <w:jc w:val="both"/>
        <w:rPr>
          <w:b/>
          <w:bCs/>
          <w:sz w:val="28"/>
          <w:szCs w:val="28"/>
        </w:rPr>
      </w:pPr>
      <w:r w:rsidRPr="00052A3E">
        <w:rPr>
          <w:sz w:val="28"/>
          <w:szCs w:val="28"/>
        </w:rPr>
        <w:t>It included 30 neonates (60 ears were examined), 13 males and 17 females, selected from the Neonatal Intensive Care Unit (NICU) of Al Zahraa Hospital.</w:t>
      </w:r>
    </w:p>
    <w:p w:rsidR="00B7354F" w:rsidRPr="00B918A8" w:rsidRDefault="00B7354F" w:rsidP="00CA0D5E">
      <w:pPr>
        <w:shd w:val="clear" w:color="auto" w:fill="FFFFFF"/>
        <w:bidi w:val="0"/>
        <w:spacing w:line="360" w:lineRule="auto"/>
        <w:jc w:val="both"/>
        <w:rPr>
          <w:b/>
          <w:bCs/>
          <w:sz w:val="28"/>
          <w:szCs w:val="28"/>
        </w:rPr>
      </w:pPr>
      <w:r>
        <w:rPr>
          <w:b/>
          <w:bCs/>
          <w:sz w:val="28"/>
          <w:szCs w:val="28"/>
        </w:rPr>
        <w:t>-</w:t>
      </w:r>
      <w:r w:rsidRPr="00B918A8">
        <w:rPr>
          <w:b/>
          <w:bCs/>
          <w:sz w:val="28"/>
          <w:szCs w:val="28"/>
        </w:rPr>
        <w:t>Inclusion criteria:</w:t>
      </w:r>
    </w:p>
    <w:p w:rsidR="00B7354F" w:rsidRPr="00052A3E" w:rsidRDefault="00B7354F" w:rsidP="00CA0D5E">
      <w:pPr>
        <w:pStyle w:val="ListParagraph"/>
        <w:numPr>
          <w:ilvl w:val="0"/>
          <w:numId w:val="3"/>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 xml:space="preserve">Full term, appropriate for date neonates (Gestational age &gt; 37weeks) and near term neonates (Gestational age 35-37weeks) based on New Ballard Score </w:t>
      </w:r>
      <w:r w:rsidRPr="00052A3E">
        <w:rPr>
          <w:rFonts w:ascii="Times New Roman" w:hAnsi="Times New Roman" w:cs="Times New Roman"/>
          <w:b/>
          <w:bCs/>
          <w:sz w:val="28"/>
          <w:szCs w:val="28"/>
        </w:rPr>
        <w:t>(Ballard et al., 1991)</w:t>
      </w:r>
      <w:r w:rsidRPr="00052A3E">
        <w:rPr>
          <w:rFonts w:ascii="Times New Roman" w:hAnsi="Times New Roman" w:cs="Times New Roman"/>
          <w:sz w:val="28"/>
          <w:szCs w:val="28"/>
        </w:rPr>
        <w:t xml:space="preserve"> with uncomplicated birth history.</w:t>
      </w:r>
    </w:p>
    <w:p w:rsidR="00B7354F" w:rsidRPr="00052A3E" w:rsidRDefault="00B7354F" w:rsidP="00CA0D5E">
      <w:pPr>
        <w:pStyle w:val="ListParagraph"/>
        <w:numPr>
          <w:ilvl w:val="0"/>
          <w:numId w:val="3"/>
        </w:numPr>
        <w:shd w:val="clear" w:color="auto" w:fill="FFFFFF"/>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B</w:t>
      </w:r>
      <w:r w:rsidRPr="00052A3E">
        <w:rPr>
          <w:rFonts w:ascii="Times New Roman" w:hAnsi="Times New Roman" w:cs="Times New Roman"/>
          <w:sz w:val="28"/>
          <w:szCs w:val="28"/>
        </w:rPr>
        <w:t>ilirubin level &gt;13mg/dl.</w:t>
      </w:r>
    </w:p>
    <w:p w:rsidR="00B7354F" w:rsidRPr="00B918A8" w:rsidRDefault="00B7354F" w:rsidP="00CA0D5E">
      <w:pPr>
        <w:pStyle w:val="ListParagraph"/>
        <w:numPr>
          <w:ilvl w:val="0"/>
          <w:numId w:val="3"/>
        </w:numPr>
        <w:shd w:val="clear" w:color="auto" w:fill="FFFFFF"/>
        <w:bidi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Rh incompatibility and f</w:t>
      </w:r>
      <w:r w:rsidRPr="00B918A8">
        <w:rPr>
          <w:rFonts w:ascii="Times New Roman" w:hAnsi="Times New Roman" w:cs="Times New Roman"/>
          <w:sz w:val="28"/>
          <w:szCs w:val="28"/>
        </w:rPr>
        <w:t>etomaternal blood group incompatibility.</w:t>
      </w:r>
    </w:p>
    <w:p w:rsidR="00B7354F" w:rsidRPr="00052A3E" w:rsidRDefault="00B7354F" w:rsidP="00CA0D5E">
      <w:pPr>
        <w:pStyle w:val="ListParagraph"/>
        <w:numPr>
          <w:ilvl w:val="0"/>
          <w:numId w:val="3"/>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Onset of jaundice before 24 hours of age.</w:t>
      </w:r>
    </w:p>
    <w:p w:rsidR="00B7354F" w:rsidRPr="00052A3E" w:rsidRDefault="00B7354F" w:rsidP="00CA0D5E">
      <w:pPr>
        <w:pStyle w:val="ListParagraph"/>
        <w:numPr>
          <w:ilvl w:val="0"/>
          <w:numId w:val="3"/>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History of previous sibling with significant hyperbilirubinemia.</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 xml:space="preserve">Infant of diabetic mother. </w:t>
      </w:r>
    </w:p>
    <w:p w:rsidR="00B7354F" w:rsidRPr="00B918A8" w:rsidRDefault="00B7354F" w:rsidP="00CA0D5E">
      <w:pPr>
        <w:shd w:val="clear" w:color="auto" w:fill="FFFFFF"/>
        <w:bidi w:val="0"/>
        <w:spacing w:line="360" w:lineRule="auto"/>
        <w:jc w:val="both"/>
        <w:rPr>
          <w:b/>
          <w:bCs/>
          <w:sz w:val="28"/>
          <w:szCs w:val="28"/>
        </w:rPr>
      </w:pPr>
      <w:r>
        <w:rPr>
          <w:b/>
          <w:bCs/>
          <w:sz w:val="28"/>
          <w:szCs w:val="28"/>
        </w:rPr>
        <w:t>-</w:t>
      </w:r>
      <w:r w:rsidRPr="00B918A8">
        <w:rPr>
          <w:b/>
          <w:bCs/>
          <w:sz w:val="28"/>
          <w:szCs w:val="28"/>
        </w:rPr>
        <w:t>Exclusion criteria:</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b/>
          <w:bCs/>
          <w:sz w:val="28"/>
          <w:szCs w:val="28"/>
        </w:rPr>
      </w:pPr>
      <w:r w:rsidRPr="00052A3E">
        <w:rPr>
          <w:rFonts w:ascii="Times New Roman" w:hAnsi="Times New Roman" w:cs="Times New Roman"/>
          <w:sz w:val="28"/>
          <w:szCs w:val="28"/>
        </w:rPr>
        <w:t>Low apgar scores of 0-4 at 1 min. or 0-6 at 5 mins.</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b/>
          <w:bCs/>
          <w:sz w:val="28"/>
          <w:szCs w:val="28"/>
        </w:rPr>
      </w:pPr>
      <w:r w:rsidRPr="00052A3E">
        <w:rPr>
          <w:rFonts w:ascii="Times New Roman" w:hAnsi="Times New Roman" w:cs="Times New Roman"/>
          <w:sz w:val="28"/>
          <w:szCs w:val="28"/>
        </w:rPr>
        <w:t>Birth weight less than 1500 grams</w:t>
      </w:r>
      <w:r w:rsidRPr="00052A3E">
        <w:rPr>
          <w:rFonts w:ascii="Times New Roman" w:hAnsi="Times New Roman" w:cs="Times New Roman"/>
          <w:b/>
          <w:bCs/>
          <w:sz w:val="28"/>
          <w:szCs w:val="28"/>
        </w:rPr>
        <w:t>.</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b/>
          <w:bCs/>
          <w:sz w:val="28"/>
          <w:szCs w:val="28"/>
        </w:rPr>
      </w:pPr>
      <w:r w:rsidRPr="00052A3E">
        <w:rPr>
          <w:rFonts w:ascii="Times New Roman" w:hAnsi="Times New Roman" w:cs="Times New Roman"/>
          <w:sz w:val="28"/>
          <w:szCs w:val="28"/>
        </w:rPr>
        <w:t>Conjugated hyperbilirubineamia.</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b/>
          <w:bCs/>
          <w:sz w:val="28"/>
          <w:szCs w:val="28"/>
        </w:rPr>
      </w:pPr>
      <w:r w:rsidRPr="00052A3E">
        <w:rPr>
          <w:rFonts w:ascii="Times New Roman" w:hAnsi="Times New Roman" w:cs="Times New Roman"/>
          <w:sz w:val="28"/>
          <w:szCs w:val="28"/>
        </w:rPr>
        <w:t>Congenital infections such as toxoplasmosis, rubella, cytomegalovirus, syphilis, and herpes simplex (TORCSH).</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b/>
          <w:bCs/>
          <w:sz w:val="28"/>
          <w:szCs w:val="28"/>
        </w:rPr>
      </w:pPr>
      <w:r w:rsidRPr="00052A3E">
        <w:rPr>
          <w:rFonts w:ascii="Times New Roman" w:hAnsi="Times New Roman" w:cs="Times New Roman"/>
          <w:sz w:val="28"/>
          <w:szCs w:val="28"/>
        </w:rPr>
        <w:t>Bacterial meningitis.</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Neonatal sepsis.</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Birth asphyxia.</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Mechanical ventilation lasting &gt;or= 5 days</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Family history of hereditary childhood sensorineural hearing loss.</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Craniofacial abnormalities.</w:t>
      </w:r>
    </w:p>
    <w:p w:rsidR="00B7354F" w:rsidRPr="00052A3E" w:rsidRDefault="00B7354F" w:rsidP="00CA0D5E">
      <w:pPr>
        <w:pStyle w:val="ListParagraph"/>
        <w:numPr>
          <w:ilvl w:val="0"/>
          <w:numId w:val="4"/>
        </w:numPr>
        <w:shd w:val="clear" w:color="auto" w:fill="FFFFFF"/>
        <w:bidi w:val="0"/>
        <w:spacing w:after="0" w:line="360" w:lineRule="auto"/>
        <w:jc w:val="both"/>
        <w:rPr>
          <w:rFonts w:ascii="Times New Roman" w:hAnsi="Times New Roman" w:cs="Times New Roman"/>
          <w:sz w:val="28"/>
          <w:szCs w:val="28"/>
        </w:rPr>
      </w:pPr>
      <w:r w:rsidRPr="00052A3E">
        <w:rPr>
          <w:rFonts w:ascii="Times New Roman" w:hAnsi="Times New Roman" w:cs="Times New Roman"/>
          <w:sz w:val="28"/>
          <w:szCs w:val="28"/>
        </w:rPr>
        <w:t>Syndromes associated with hearing loss as: Waardenberg Syndrome, Pendred Syndrome, and Usher Syndrome.</w:t>
      </w:r>
    </w:p>
    <w:p w:rsidR="00B7354F" w:rsidRPr="00974A83" w:rsidRDefault="00B7354F" w:rsidP="00CA0D5E">
      <w:pPr>
        <w:shd w:val="clear" w:color="auto" w:fill="FFFFFF"/>
        <w:bidi w:val="0"/>
        <w:spacing w:line="360" w:lineRule="auto"/>
        <w:jc w:val="both"/>
        <w:rPr>
          <w:sz w:val="28"/>
          <w:szCs w:val="28"/>
        </w:rPr>
      </w:pPr>
      <w:r w:rsidRPr="00974A83">
        <w:rPr>
          <w:b/>
          <w:bCs/>
          <w:sz w:val="28"/>
          <w:szCs w:val="28"/>
          <w:u w:val="single"/>
        </w:rPr>
        <w:t>Methods</w:t>
      </w:r>
    </w:p>
    <w:p w:rsidR="00B7354F" w:rsidRPr="00052A3E" w:rsidRDefault="00B7354F" w:rsidP="00CA0D5E">
      <w:pPr>
        <w:shd w:val="clear" w:color="auto" w:fill="FFFFFF"/>
        <w:bidi w:val="0"/>
        <w:spacing w:line="360" w:lineRule="auto"/>
        <w:jc w:val="both"/>
        <w:rPr>
          <w:b/>
          <w:bCs/>
          <w:sz w:val="28"/>
          <w:szCs w:val="28"/>
        </w:rPr>
      </w:pPr>
      <w:r w:rsidRPr="00052A3E">
        <w:rPr>
          <w:sz w:val="28"/>
          <w:szCs w:val="28"/>
        </w:rPr>
        <w:t>-</w:t>
      </w:r>
      <w:r>
        <w:rPr>
          <w:sz w:val="28"/>
          <w:szCs w:val="28"/>
        </w:rPr>
        <w:t>All studied new</w:t>
      </w:r>
      <w:r w:rsidRPr="00052A3E">
        <w:rPr>
          <w:sz w:val="28"/>
          <w:szCs w:val="28"/>
        </w:rPr>
        <w:t>born infants were subjected to full medical history</w:t>
      </w:r>
      <w:r w:rsidRPr="00052A3E">
        <w:rPr>
          <w:sz w:val="28"/>
          <w:szCs w:val="28"/>
          <w:lang w:bidi="ar-EG"/>
        </w:rPr>
        <w:t xml:space="preserve">, </w:t>
      </w:r>
      <w:r w:rsidRPr="00052A3E">
        <w:rPr>
          <w:sz w:val="28"/>
          <w:szCs w:val="28"/>
        </w:rPr>
        <w:t>through clinical examination and investigations.</w:t>
      </w:r>
    </w:p>
    <w:p w:rsidR="00B7354F" w:rsidRPr="00052A3E" w:rsidRDefault="00B7354F" w:rsidP="00CA0D5E">
      <w:pPr>
        <w:tabs>
          <w:tab w:val="right" w:pos="284"/>
        </w:tabs>
        <w:autoSpaceDE w:val="0"/>
        <w:autoSpaceDN w:val="0"/>
        <w:bidi w:val="0"/>
        <w:adjustRightInd w:val="0"/>
        <w:spacing w:line="360" w:lineRule="auto"/>
        <w:jc w:val="both"/>
        <w:rPr>
          <w:sz w:val="28"/>
          <w:szCs w:val="28"/>
          <w:lang w:bidi="ar-EG"/>
        </w:rPr>
      </w:pPr>
      <w:r w:rsidRPr="00052A3E">
        <w:rPr>
          <w:sz w:val="28"/>
          <w:szCs w:val="28"/>
          <w:lang w:bidi="ar-EG"/>
        </w:rPr>
        <w:t>-Auditory brain stem responses ABR test measures the electroencephalographic waves generated by the auditory system in response to clicks via three electrodes placed on the infant's scalp.</w:t>
      </w:r>
    </w:p>
    <w:p w:rsidR="00B7354F" w:rsidRPr="00052A3E" w:rsidRDefault="00B7354F" w:rsidP="00CA0D5E">
      <w:pPr>
        <w:tabs>
          <w:tab w:val="right" w:pos="284"/>
        </w:tabs>
        <w:autoSpaceDE w:val="0"/>
        <w:autoSpaceDN w:val="0"/>
        <w:bidi w:val="0"/>
        <w:adjustRightInd w:val="0"/>
        <w:spacing w:line="360" w:lineRule="auto"/>
        <w:jc w:val="both"/>
        <w:rPr>
          <w:sz w:val="28"/>
          <w:szCs w:val="28"/>
          <w:lang w:bidi="ar-EG"/>
        </w:rPr>
      </w:pPr>
      <w:r w:rsidRPr="00052A3E">
        <w:rPr>
          <w:b/>
          <w:bCs/>
          <w:i/>
          <w:iCs/>
          <w:sz w:val="28"/>
          <w:szCs w:val="28"/>
          <w:lang w:bidi="ar-EG"/>
        </w:rPr>
        <w:t>Timing of ABR:</w:t>
      </w:r>
      <w:r w:rsidRPr="00052A3E">
        <w:rPr>
          <w:sz w:val="28"/>
          <w:szCs w:val="28"/>
          <w:lang w:bidi="ar-EG"/>
        </w:rPr>
        <w:t>It will be carried out in two phases:</w:t>
      </w:r>
    </w:p>
    <w:p w:rsidR="00B7354F" w:rsidRPr="00052A3E" w:rsidRDefault="00B7354F" w:rsidP="00CA0D5E">
      <w:pPr>
        <w:tabs>
          <w:tab w:val="left" w:pos="720"/>
        </w:tabs>
        <w:autoSpaceDE w:val="0"/>
        <w:autoSpaceDN w:val="0"/>
        <w:bidi w:val="0"/>
        <w:adjustRightInd w:val="0"/>
        <w:spacing w:line="360" w:lineRule="auto"/>
        <w:jc w:val="both"/>
        <w:rPr>
          <w:sz w:val="28"/>
          <w:szCs w:val="28"/>
          <w:lang w:bidi="ar-EG"/>
        </w:rPr>
      </w:pPr>
      <w:r w:rsidRPr="00052A3E">
        <w:rPr>
          <w:b/>
          <w:bCs/>
          <w:sz w:val="28"/>
          <w:szCs w:val="28"/>
          <w:lang w:bidi="ar-EG"/>
        </w:rPr>
        <w:t>Phase 1:</w:t>
      </w:r>
      <w:r w:rsidRPr="00052A3E">
        <w:rPr>
          <w:sz w:val="28"/>
          <w:szCs w:val="28"/>
          <w:lang w:bidi="ar-EG"/>
        </w:rPr>
        <w:t xml:space="preserve"> ABR examination will be carried out within 24 hrs of the diagnosis of hyperbilirubinemia.</w:t>
      </w:r>
    </w:p>
    <w:p w:rsidR="00B7354F" w:rsidRDefault="00B7354F" w:rsidP="00CA0D5E">
      <w:pPr>
        <w:tabs>
          <w:tab w:val="left" w:pos="720"/>
        </w:tabs>
        <w:autoSpaceDE w:val="0"/>
        <w:autoSpaceDN w:val="0"/>
        <w:bidi w:val="0"/>
        <w:adjustRightInd w:val="0"/>
        <w:spacing w:line="360" w:lineRule="auto"/>
        <w:jc w:val="both"/>
        <w:rPr>
          <w:sz w:val="28"/>
          <w:szCs w:val="28"/>
          <w:lang w:bidi="ar-EG"/>
        </w:rPr>
      </w:pPr>
      <w:r w:rsidRPr="00052A3E">
        <w:rPr>
          <w:b/>
          <w:bCs/>
          <w:sz w:val="28"/>
          <w:szCs w:val="28"/>
          <w:lang w:bidi="ar-EG"/>
        </w:rPr>
        <w:t>Phase 2:</w:t>
      </w:r>
      <w:r w:rsidRPr="00052A3E">
        <w:rPr>
          <w:sz w:val="28"/>
          <w:szCs w:val="28"/>
          <w:lang w:bidi="ar-EG"/>
        </w:rPr>
        <w:t xml:space="preserve"> repeat examination will be done when total serum bilirubin came down to &lt;13 mg/dL with treatment.</w:t>
      </w:r>
    </w:p>
    <w:p w:rsidR="00B7354F" w:rsidRPr="001E7707" w:rsidRDefault="00B7354F" w:rsidP="00CA0D5E">
      <w:pPr>
        <w:pStyle w:val="Pa9"/>
        <w:spacing w:before="200" w:after="8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Pr="001E7707">
        <w:rPr>
          <w:rFonts w:ascii="Times New Roman" w:hAnsi="Times New Roman" w:cs="Times New Roman"/>
          <w:b/>
          <w:bCs/>
          <w:color w:val="000000"/>
          <w:sz w:val="28"/>
          <w:szCs w:val="28"/>
        </w:rPr>
        <w:t>Ethical Considerations</w:t>
      </w:r>
      <w:r>
        <w:rPr>
          <w:rFonts w:ascii="Times New Roman" w:hAnsi="Times New Roman" w:cs="Times New Roman"/>
          <w:b/>
          <w:bCs/>
          <w:color w:val="000000"/>
          <w:sz w:val="28"/>
          <w:szCs w:val="28"/>
        </w:rPr>
        <w:t xml:space="preserve">: </w:t>
      </w:r>
      <w:r w:rsidRPr="001E7707">
        <w:rPr>
          <w:rFonts w:ascii="Times New Roman" w:hAnsi="Times New Roman" w:cs="Times New Roman"/>
          <w:color w:val="000000"/>
          <w:sz w:val="28"/>
          <w:szCs w:val="28"/>
        </w:rPr>
        <w:t>according to the</w:t>
      </w:r>
      <w:r w:rsidRPr="001E7707">
        <w:rPr>
          <w:rFonts w:ascii="Times New Roman" w:hAnsi="Times New Roman" w:cs="Times New Roman"/>
          <w:b/>
          <w:bCs/>
          <w:color w:val="000000"/>
          <w:sz w:val="28"/>
          <w:szCs w:val="28"/>
        </w:rPr>
        <w:t xml:space="preserve"> </w:t>
      </w:r>
      <w:r w:rsidRPr="001E7707">
        <w:rPr>
          <w:rFonts w:ascii="Times New Roman" w:hAnsi="Times New Roman" w:cs="Times New Roman"/>
          <w:color w:val="000000"/>
          <w:sz w:val="28"/>
          <w:szCs w:val="28"/>
        </w:rPr>
        <w:t>Institutions' Ethical Com</w:t>
      </w:r>
      <w:r w:rsidRPr="001E7707">
        <w:rPr>
          <w:rFonts w:ascii="Times New Roman" w:hAnsi="Times New Roman" w:cs="Times New Roman"/>
          <w:color w:val="000000"/>
          <w:sz w:val="28"/>
          <w:szCs w:val="28"/>
        </w:rPr>
        <w:softHyphen/>
        <w:t>mittee.</w:t>
      </w:r>
    </w:p>
    <w:p w:rsidR="00B7354F" w:rsidRPr="00C364BC" w:rsidRDefault="00B7354F" w:rsidP="00CA0D5E">
      <w:pPr>
        <w:tabs>
          <w:tab w:val="left" w:pos="720"/>
        </w:tabs>
        <w:autoSpaceDE w:val="0"/>
        <w:autoSpaceDN w:val="0"/>
        <w:bidi w:val="0"/>
        <w:adjustRightInd w:val="0"/>
        <w:spacing w:line="360" w:lineRule="auto"/>
        <w:jc w:val="both"/>
        <w:rPr>
          <w:b/>
          <w:bCs/>
          <w:sz w:val="28"/>
          <w:szCs w:val="28"/>
          <w:rtl/>
          <w:lang w:bidi="ar-EG"/>
        </w:rPr>
      </w:pPr>
      <w:r>
        <w:rPr>
          <w:b/>
          <w:bCs/>
          <w:sz w:val="28"/>
          <w:szCs w:val="28"/>
        </w:rPr>
        <w:t>-Statistical analysi</w:t>
      </w:r>
      <w:r w:rsidRPr="001D087D">
        <w:rPr>
          <w:b/>
          <w:bCs/>
          <w:sz w:val="28"/>
          <w:szCs w:val="28"/>
        </w:rPr>
        <w:t>s</w:t>
      </w:r>
      <w:r>
        <w:rPr>
          <w:b/>
          <w:bCs/>
          <w:sz w:val="28"/>
          <w:szCs w:val="28"/>
          <w:lang w:bidi="ar-EG"/>
        </w:rPr>
        <w:t xml:space="preserve">: </w:t>
      </w:r>
      <w:r w:rsidRPr="00220371">
        <w:rPr>
          <w:sz w:val="28"/>
          <w:szCs w:val="28"/>
          <w:lang w:bidi="ar-EG"/>
        </w:rPr>
        <w:t xml:space="preserve">using spss </w:t>
      </w:r>
      <w:r w:rsidRPr="00C364BC">
        <w:rPr>
          <w:sz w:val="28"/>
          <w:szCs w:val="28"/>
          <w:lang w:bidi="ar-EG"/>
        </w:rPr>
        <w:t>(</w:t>
      </w:r>
      <w:r w:rsidRPr="00C364BC">
        <w:rPr>
          <w:sz w:val="28"/>
          <w:szCs w:val="28"/>
        </w:rPr>
        <w:t>statistical package for social science)</w:t>
      </w:r>
      <w:r w:rsidRPr="00C364BC">
        <w:rPr>
          <w:sz w:val="28"/>
          <w:szCs w:val="28"/>
          <w:lang w:bidi="ar-EG"/>
        </w:rPr>
        <w:t xml:space="preserve"> version 12</w:t>
      </w:r>
    </w:p>
    <w:p w:rsidR="00B7354F" w:rsidRPr="00052A3E" w:rsidRDefault="00B7354F" w:rsidP="00CA0D5E">
      <w:pPr>
        <w:bidi w:val="0"/>
        <w:spacing w:line="360" w:lineRule="auto"/>
        <w:jc w:val="both"/>
        <w:rPr>
          <w:b/>
          <w:bCs/>
          <w:sz w:val="28"/>
          <w:szCs w:val="28"/>
          <w:u w:val="single"/>
          <w:lang w:bidi="ar-EG"/>
        </w:rPr>
      </w:pPr>
      <w:r w:rsidRPr="00052A3E">
        <w:rPr>
          <w:b/>
          <w:bCs/>
          <w:sz w:val="28"/>
          <w:szCs w:val="28"/>
          <w:u w:val="single"/>
        </w:rPr>
        <w:t>RESULTS</w:t>
      </w:r>
    </w:p>
    <w:p w:rsidR="00B7354F" w:rsidRPr="00052A3E" w:rsidRDefault="00B7354F" w:rsidP="00CA0D5E">
      <w:pPr>
        <w:pStyle w:val="Pa7"/>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52A3E">
        <w:rPr>
          <w:rFonts w:ascii="Times New Roman" w:hAnsi="Times New Roman" w:cs="Times New Roman"/>
          <w:sz w:val="28"/>
          <w:szCs w:val="28"/>
        </w:rPr>
        <w:t>Of 50 newborns that met the enrolment criteria and participated in the study, the case group included 30 new</w:t>
      </w:r>
      <w:r w:rsidRPr="00052A3E">
        <w:rPr>
          <w:rFonts w:ascii="Times New Roman" w:hAnsi="Times New Roman" w:cs="Times New Roman"/>
          <w:sz w:val="28"/>
          <w:szCs w:val="28"/>
        </w:rPr>
        <w:softHyphen/>
        <w:t>borns (13 males and 17 females) and there were 20 new</w:t>
      </w:r>
      <w:r w:rsidRPr="00052A3E">
        <w:rPr>
          <w:rFonts w:ascii="Times New Roman" w:hAnsi="Times New Roman" w:cs="Times New Roman"/>
          <w:sz w:val="28"/>
          <w:szCs w:val="28"/>
        </w:rPr>
        <w:softHyphen/>
        <w:t>borns (14 males and 6 females) in the control group. In the case group, the mean age of newborns was 3.97 ± 3.28 days.</w:t>
      </w:r>
    </w:p>
    <w:p w:rsidR="00B7354F" w:rsidRPr="00052A3E" w:rsidRDefault="00B7354F" w:rsidP="00CA0D5E">
      <w:pPr>
        <w:pStyle w:val="Pa7"/>
        <w:numPr>
          <w:ilvl w:val="0"/>
          <w:numId w:val="7"/>
        </w:numPr>
        <w:spacing w:line="360" w:lineRule="auto"/>
        <w:ind w:left="460"/>
        <w:jc w:val="both"/>
        <w:rPr>
          <w:rFonts w:ascii="Times New Roman" w:hAnsi="Times New Roman" w:cs="Times New Roman"/>
          <w:sz w:val="28"/>
          <w:szCs w:val="28"/>
        </w:rPr>
      </w:pPr>
      <w:r w:rsidRPr="00052A3E">
        <w:rPr>
          <w:rFonts w:ascii="Times New Roman" w:hAnsi="Times New Roman" w:cs="Times New Roman"/>
          <w:sz w:val="28"/>
          <w:szCs w:val="28"/>
        </w:rPr>
        <w:t>There was no significant statistical difference regard</w:t>
      </w:r>
      <w:r w:rsidRPr="00052A3E">
        <w:rPr>
          <w:rFonts w:ascii="Times New Roman" w:hAnsi="Times New Roman" w:cs="Times New Roman"/>
          <w:sz w:val="28"/>
          <w:szCs w:val="28"/>
        </w:rPr>
        <w:softHyphen/>
        <w:t xml:space="preserve">ing </w:t>
      </w:r>
      <w:r w:rsidRPr="00052A3E">
        <w:rPr>
          <w:rFonts w:ascii="Times New Roman" w:hAnsi="Times New Roman" w:cs="Times New Roman"/>
          <w:color w:val="000000"/>
          <w:sz w:val="28"/>
          <w:szCs w:val="28"/>
        </w:rPr>
        <w:t>gender, postnatal age, gestational age, type of delivery, feeding, anthropometric measurements and vital signs</w:t>
      </w:r>
      <w:r w:rsidRPr="00052A3E">
        <w:rPr>
          <w:rFonts w:ascii="Times New Roman" w:hAnsi="Times New Roman" w:cs="Times New Roman"/>
          <w:sz w:val="28"/>
          <w:szCs w:val="28"/>
        </w:rPr>
        <w:t xml:space="preserve"> between the two groups. The average total serum bilirubin level (TSB) was 22.35 ± 3.72 and 10.57 ± 1.55 mg/dL before and after the phototherapy, respectively in the case group.</w:t>
      </w:r>
    </w:p>
    <w:p w:rsidR="00B7354F" w:rsidRPr="009244F9" w:rsidRDefault="00B7354F" w:rsidP="00CA0D5E">
      <w:pPr>
        <w:pStyle w:val="ListParagraph"/>
        <w:numPr>
          <w:ilvl w:val="0"/>
          <w:numId w:val="12"/>
        </w:numPr>
        <w:shd w:val="clear" w:color="auto" w:fill="FFFFFF"/>
        <w:bidi w:val="0"/>
        <w:spacing w:line="360" w:lineRule="auto"/>
        <w:jc w:val="both"/>
        <w:rPr>
          <w:rFonts w:ascii="Times New Roman" w:hAnsi="Times New Roman" w:cs="Times New Roman"/>
          <w:sz w:val="28"/>
          <w:szCs w:val="28"/>
        </w:rPr>
      </w:pPr>
      <w:r w:rsidRPr="00220371">
        <w:rPr>
          <w:rFonts w:ascii="Times New Roman" w:hAnsi="Times New Roman" w:cs="Times New Roman"/>
          <w:color w:val="000000"/>
          <w:sz w:val="28"/>
          <w:szCs w:val="28"/>
        </w:rPr>
        <w:t>The mean latencies of waves I, III and V of ABR were significantly higher in the pathologic hyperbilirubinemia group compar</w:t>
      </w:r>
      <w:r>
        <w:rPr>
          <w:rFonts w:ascii="Times New Roman" w:hAnsi="Times New Roman" w:cs="Times New Roman"/>
          <w:color w:val="000000"/>
          <w:sz w:val="28"/>
          <w:szCs w:val="28"/>
        </w:rPr>
        <w:t xml:space="preserve">ed with the control group. </w:t>
      </w:r>
    </w:p>
    <w:p w:rsidR="00B7354F" w:rsidRDefault="00B7354F" w:rsidP="00CA0D5E">
      <w:pPr>
        <w:pStyle w:val="ListParagraph"/>
        <w:numPr>
          <w:ilvl w:val="0"/>
          <w:numId w:val="12"/>
        </w:numPr>
        <w:shd w:val="clear" w:color="auto" w:fill="FFFFFF"/>
        <w:bidi w:val="0"/>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T</w:t>
      </w:r>
      <w:r w:rsidRPr="00220371">
        <w:rPr>
          <w:rFonts w:ascii="Times New Roman" w:hAnsi="Times New Roman" w:cs="Times New Roman"/>
          <w:color w:val="000000"/>
          <w:sz w:val="28"/>
          <w:szCs w:val="28"/>
        </w:rPr>
        <w:t>he m</w:t>
      </w:r>
      <w:r>
        <w:rPr>
          <w:rFonts w:ascii="Times New Roman" w:hAnsi="Times New Roman" w:cs="Times New Roman"/>
          <w:color w:val="000000"/>
          <w:sz w:val="28"/>
          <w:szCs w:val="28"/>
        </w:rPr>
        <w:t>ean interpeak intervals (IPI)</w:t>
      </w:r>
      <w:r w:rsidRPr="00220371">
        <w:rPr>
          <w:rFonts w:ascii="Times New Roman" w:hAnsi="Times New Roman" w:cs="Times New Roman"/>
          <w:color w:val="000000"/>
          <w:sz w:val="28"/>
          <w:szCs w:val="28"/>
        </w:rPr>
        <w:t xml:space="preserve"> I-III, I-V and III-V of ABR waves were significantly higher in the pathologic hyperbilirubinemia group </w:t>
      </w:r>
      <w:r>
        <w:rPr>
          <w:rFonts w:ascii="Times New Roman" w:hAnsi="Times New Roman" w:cs="Times New Roman"/>
          <w:color w:val="000000"/>
          <w:sz w:val="28"/>
          <w:szCs w:val="28"/>
        </w:rPr>
        <w:t>compared with the control group</w:t>
      </w:r>
      <w:r w:rsidRPr="00220371">
        <w:rPr>
          <w:rFonts w:ascii="Times New Roman" w:hAnsi="Times New Roman" w:cs="Times New Roman"/>
          <w:color w:val="000000"/>
          <w:sz w:val="28"/>
          <w:szCs w:val="28"/>
        </w:rPr>
        <w:t>.</w:t>
      </w:r>
      <w:r w:rsidRPr="00220371">
        <w:rPr>
          <w:rFonts w:ascii="Times New Roman" w:hAnsi="Times New Roman" w:cs="Times New Roman"/>
          <w:sz w:val="28"/>
          <w:szCs w:val="28"/>
        </w:rPr>
        <w:t xml:space="preserve"> </w:t>
      </w:r>
    </w:p>
    <w:p w:rsidR="00B7354F" w:rsidRPr="00974A83" w:rsidRDefault="00B7354F" w:rsidP="00CA0D5E">
      <w:pPr>
        <w:pStyle w:val="ListParagraph"/>
        <w:numPr>
          <w:ilvl w:val="0"/>
          <w:numId w:val="12"/>
        </w:numPr>
        <w:shd w:val="clear" w:color="auto" w:fill="FFFFFF"/>
        <w:bidi w:val="0"/>
        <w:spacing w:line="360" w:lineRule="auto"/>
        <w:jc w:val="both"/>
        <w:rPr>
          <w:rFonts w:ascii="Times New Roman" w:hAnsi="Times New Roman" w:cs="Times New Roman"/>
          <w:sz w:val="28"/>
          <w:szCs w:val="28"/>
        </w:rPr>
      </w:pPr>
      <w:r w:rsidRPr="00974A83">
        <w:rPr>
          <w:rFonts w:ascii="Times New Roman" w:hAnsi="Times New Roman" w:cs="Times New Roman"/>
          <w:b/>
          <w:bCs/>
          <w:sz w:val="28"/>
          <w:szCs w:val="28"/>
        </w:rPr>
        <w:t xml:space="preserve">Table (1) </w:t>
      </w:r>
      <w:r w:rsidRPr="00974A83">
        <w:rPr>
          <w:rFonts w:ascii="Times New Roman" w:hAnsi="Times New Roman" w:cs="Times New Roman"/>
          <w:sz w:val="28"/>
          <w:szCs w:val="28"/>
        </w:rPr>
        <w:t>Comparison between jaundiced group and control group regarding absolute and interpeak latencies before treatment</w:t>
      </w:r>
    </w:p>
    <w:tbl>
      <w:tblPr>
        <w:tblW w:w="5372"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63"/>
        <w:gridCol w:w="2060"/>
        <w:gridCol w:w="990"/>
        <w:gridCol w:w="779"/>
        <w:gridCol w:w="946"/>
        <w:gridCol w:w="1222"/>
        <w:gridCol w:w="794"/>
        <w:gridCol w:w="1332"/>
      </w:tblGrid>
      <w:tr w:rsidR="00B7354F" w:rsidRPr="00A441B1">
        <w:trPr>
          <w:jc w:val="center"/>
        </w:trPr>
        <w:tc>
          <w:tcPr>
            <w:tcW w:w="1700" w:type="pct"/>
            <w:gridSpan w:val="2"/>
            <w:vMerge w:val="restart"/>
            <w:tcBorders>
              <w:top w:val="single" w:sz="18" w:space="0" w:color="000000"/>
              <w:left w:val="single" w:sz="18" w:space="0" w:color="000000"/>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b/>
                <w:bCs/>
                <w:color w:val="000000"/>
                <w:sz w:val="28"/>
                <w:szCs w:val="28"/>
              </w:rPr>
            </w:pPr>
            <w:r w:rsidRPr="00A441B1">
              <w:rPr>
                <w:b/>
                <w:bCs/>
                <w:color w:val="000000"/>
                <w:sz w:val="28"/>
                <w:szCs w:val="28"/>
              </w:rPr>
              <w:t>Absolut &amp;Interpeak Latencies</w:t>
            </w:r>
          </w:p>
        </w:tc>
        <w:tc>
          <w:tcPr>
            <w:tcW w:w="963" w:type="pct"/>
            <w:gridSpan w:val="2"/>
            <w:tcBorders>
              <w:top w:val="single" w:sz="18" w:space="0" w:color="000000"/>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Control group</w:t>
            </w:r>
          </w:p>
        </w:tc>
        <w:tc>
          <w:tcPr>
            <w:tcW w:w="1180" w:type="pct"/>
            <w:gridSpan w:val="2"/>
            <w:tcBorders>
              <w:top w:val="single" w:sz="18" w:space="0" w:color="000000"/>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Jaundiced</w:t>
            </w:r>
            <w:r w:rsidRPr="00A441B1">
              <w:rPr>
                <w:rStyle w:val="apple-converted-space"/>
                <w:b/>
                <w:bCs/>
                <w:color w:val="000000"/>
                <w:sz w:val="28"/>
                <w:szCs w:val="28"/>
              </w:rPr>
              <w:t> </w:t>
            </w:r>
            <w:r w:rsidRPr="00A441B1">
              <w:rPr>
                <w:b/>
                <w:bCs/>
                <w:color w:val="000000"/>
                <w:sz w:val="28"/>
                <w:szCs w:val="28"/>
              </w:rPr>
              <w:t>group</w:t>
            </w:r>
          </w:p>
        </w:tc>
        <w:tc>
          <w:tcPr>
            <w:tcW w:w="1157" w:type="pct"/>
            <w:gridSpan w:val="2"/>
            <w:tcBorders>
              <w:top w:val="single" w:sz="18" w:space="0" w:color="000000"/>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Independent t-test</w:t>
            </w:r>
          </w:p>
        </w:tc>
      </w:tr>
      <w:tr w:rsidR="00B7354F" w:rsidRPr="00A441B1">
        <w:trPr>
          <w:jc w:val="center"/>
        </w:trPr>
        <w:tc>
          <w:tcPr>
            <w:tcW w:w="1700" w:type="pct"/>
            <w:gridSpan w:val="2"/>
            <w:vMerge/>
            <w:tcBorders>
              <w:top w:val="single" w:sz="18" w:space="0" w:color="000000"/>
              <w:left w:val="single" w:sz="18" w:space="0" w:color="000000"/>
              <w:bottom w:val="single" w:sz="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Mean±</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SD</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Mean±</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SD</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t</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b/>
                <w:bCs/>
                <w:color w:val="000000"/>
                <w:sz w:val="28"/>
                <w:szCs w:val="28"/>
              </w:rPr>
              <w:t>p-value</w:t>
            </w:r>
          </w:p>
        </w:tc>
      </w:tr>
      <w:tr w:rsidR="00B7354F" w:rsidRPr="00A441B1">
        <w:trPr>
          <w:jc w:val="center"/>
        </w:trPr>
        <w:tc>
          <w:tcPr>
            <w:tcW w:w="579" w:type="pct"/>
            <w:vMerge w:val="restart"/>
            <w:tcBorders>
              <w:top w:val="nil"/>
              <w:left w:val="single" w:sz="18" w:space="0" w:color="000000"/>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Right</w:t>
            </w: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1.54</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0.13</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1.84</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0.30</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4.103</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0.002</w:t>
            </w:r>
          </w:p>
        </w:tc>
      </w:tr>
      <w:tr w:rsidR="00B7354F" w:rsidRPr="00A441B1">
        <w:trPr>
          <w:jc w:val="center"/>
        </w:trPr>
        <w:tc>
          <w:tcPr>
            <w:tcW w:w="579" w:type="pct"/>
            <w:vMerge/>
            <w:tcBorders>
              <w:top w:val="nil"/>
              <w:left w:val="single" w:sz="18" w:space="0" w:color="000000"/>
              <w:bottom w:val="single" w:sz="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III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3.68</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0.28</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4.41</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0.28</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8.245</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0.000</w:t>
            </w:r>
          </w:p>
        </w:tc>
      </w:tr>
      <w:tr w:rsidR="00B7354F" w:rsidRPr="00A441B1">
        <w:trPr>
          <w:jc w:val="center"/>
        </w:trPr>
        <w:tc>
          <w:tcPr>
            <w:tcW w:w="579" w:type="pct"/>
            <w:vMerge/>
            <w:tcBorders>
              <w:top w:val="nil"/>
              <w:left w:val="single" w:sz="18" w:space="0" w:color="000000"/>
              <w:bottom w:val="single" w:sz="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V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5.86</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0.40</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7.01</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0.52</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7.839</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0.000</w:t>
            </w:r>
          </w:p>
        </w:tc>
      </w:tr>
      <w:tr w:rsidR="00B7354F" w:rsidRPr="00A441B1">
        <w:trPr>
          <w:jc w:val="center"/>
        </w:trPr>
        <w:tc>
          <w:tcPr>
            <w:tcW w:w="579" w:type="pct"/>
            <w:vMerge/>
            <w:tcBorders>
              <w:top w:val="nil"/>
              <w:left w:val="single" w:sz="18" w:space="0" w:color="000000"/>
              <w:bottom w:val="single" w:sz="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I-III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2.14</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0.24</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2.57</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0.41</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4.048</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0.002</w:t>
            </w:r>
          </w:p>
        </w:tc>
      </w:tr>
      <w:tr w:rsidR="00B7354F" w:rsidRPr="00A441B1">
        <w:trPr>
          <w:jc w:val="center"/>
        </w:trPr>
        <w:tc>
          <w:tcPr>
            <w:tcW w:w="579" w:type="pct"/>
            <w:vMerge/>
            <w:tcBorders>
              <w:top w:val="nil"/>
              <w:left w:val="single" w:sz="18" w:space="0" w:color="000000"/>
              <w:bottom w:val="single" w:sz="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III-V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2.18</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0.34</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2.46</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0.28</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2.843</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0.007</w:t>
            </w:r>
          </w:p>
        </w:tc>
      </w:tr>
      <w:tr w:rsidR="00B7354F" w:rsidRPr="00A441B1">
        <w:trPr>
          <w:jc w:val="center"/>
        </w:trPr>
        <w:tc>
          <w:tcPr>
            <w:tcW w:w="579" w:type="pct"/>
            <w:vMerge/>
            <w:tcBorders>
              <w:top w:val="nil"/>
              <w:left w:val="single" w:sz="18" w:space="0" w:color="000000"/>
              <w:bottom w:val="single" w:sz="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I-V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4.32</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0.37</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5.03</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0.17</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7.798</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0.000</w:t>
            </w:r>
          </w:p>
        </w:tc>
      </w:tr>
      <w:tr w:rsidR="00B7354F" w:rsidRPr="00A441B1">
        <w:trPr>
          <w:jc w:val="center"/>
        </w:trPr>
        <w:tc>
          <w:tcPr>
            <w:tcW w:w="579" w:type="pct"/>
            <w:vMerge/>
            <w:tcBorders>
              <w:top w:val="nil"/>
              <w:left w:val="single" w:sz="18" w:space="0" w:color="000000"/>
              <w:bottom w:val="single" w:sz="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V at 40 Db</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7.33</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0.46</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8.06</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0.79</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3.571</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0.001</w:t>
            </w:r>
          </w:p>
        </w:tc>
      </w:tr>
      <w:tr w:rsidR="00B7354F" w:rsidRPr="00A441B1">
        <w:trPr>
          <w:jc w:val="center"/>
        </w:trPr>
        <w:tc>
          <w:tcPr>
            <w:tcW w:w="579" w:type="pct"/>
            <w:vMerge w:val="restart"/>
            <w:tcBorders>
              <w:top w:val="nil"/>
              <w:left w:val="single" w:sz="18" w:space="0" w:color="000000"/>
              <w:bottom w:val="single" w:sz="1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Left</w:t>
            </w: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1.64</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0.15</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1.85</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0.32</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2.657</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0.011</w:t>
            </w:r>
          </w:p>
        </w:tc>
      </w:tr>
      <w:tr w:rsidR="00B7354F" w:rsidRPr="00A441B1">
        <w:trPr>
          <w:jc w:val="center"/>
        </w:trPr>
        <w:tc>
          <w:tcPr>
            <w:tcW w:w="579" w:type="pct"/>
            <w:vMerge/>
            <w:tcBorders>
              <w:top w:val="nil"/>
              <w:left w:val="single" w:sz="18" w:space="0" w:color="000000"/>
              <w:bottom w:val="single" w:sz="1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III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4.09</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0.29</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4.41</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0.41</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2.850</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0.007</w:t>
            </w:r>
          </w:p>
        </w:tc>
      </w:tr>
      <w:tr w:rsidR="00B7354F" w:rsidRPr="00A441B1">
        <w:trPr>
          <w:jc w:val="center"/>
        </w:trPr>
        <w:tc>
          <w:tcPr>
            <w:tcW w:w="579" w:type="pct"/>
            <w:vMerge/>
            <w:tcBorders>
              <w:top w:val="nil"/>
              <w:left w:val="single" w:sz="18" w:space="0" w:color="000000"/>
              <w:bottom w:val="single" w:sz="1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V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6.32</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0.38</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6.85</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0.67</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3.077</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0.004</w:t>
            </w:r>
          </w:p>
        </w:tc>
      </w:tr>
      <w:tr w:rsidR="00B7354F" w:rsidRPr="00A441B1">
        <w:trPr>
          <w:jc w:val="center"/>
        </w:trPr>
        <w:tc>
          <w:tcPr>
            <w:tcW w:w="579" w:type="pct"/>
            <w:vMerge/>
            <w:tcBorders>
              <w:top w:val="nil"/>
              <w:left w:val="single" w:sz="18" w:space="0" w:color="000000"/>
              <w:bottom w:val="single" w:sz="1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I-III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2.45</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0.25</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3.00</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0.43</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4.945</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0.000</w:t>
            </w:r>
          </w:p>
        </w:tc>
      </w:tr>
      <w:tr w:rsidR="00B7354F" w:rsidRPr="00A441B1">
        <w:trPr>
          <w:jc w:val="center"/>
        </w:trPr>
        <w:tc>
          <w:tcPr>
            <w:tcW w:w="579" w:type="pct"/>
            <w:vMerge/>
            <w:tcBorders>
              <w:top w:val="nil"/>
              <w:left w:val="single" w:sz="18" w:space="0" w:color="000000"/>
              <w:bottom w:val="single" w:sz="1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III-V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2.23</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0.32</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2.58</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0.39</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3.101</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0.004</w:t>
            </w:r>
          </w:p>
        </w:tc>
      </w:tr>
      <w:tr w:rsidR="00B7354F" w:rsidRPr="00A441B1">
        <w:trPr>
          <w:jc w:val="center"/>
        </w:trPr>
        <w:tc>
          <w:tcPr>
            <w:tcW w:w="579" w:type="pct"/>
            <w:vMerge/>
            <w:tcBorders>
              <w:top w:val="nil"/>
              <w:left w:val="single" w:sz="18" w:space="0" w:color="000000"/>
              <w:bottom w:val="single" w:sz="1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I-V (ms)</w:t>
            </w:r>
          </w:p>
        </w:tc>
        <w:tc>
          <w:tcPr>
            <w:tcW w:w="539"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4.68</w:t>
            </w:r>
          </w:p>
        </w:tc>
        <w:tc>
          <w:tcPr>
            <w:tcW w:w="424"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0.41</w:t>
            </w:r>
          </w:p>
        </w:tc>
        <w:tc>
          <w:tcPr>
            <w:tcW w:w="51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5.03</w:t>
            </w:r>
          </w:p>
        </w:tc>
        <w:tc>
          <w:tcPr>
            <w:tcW w:w="665"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0.50</w:t>
            </w:r>
          </w:p>
        </w:tc>
        <w:tc>
          <w:tcPr>
            <w:tcW w:w="432" w:type="pct"/>
            <w:tcBorders>
              <w:top w:val="nil"/>
              <w:left w:val="nil"/>
              <w:bottom w:val="single" w:sz="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2.421</w:t>
            </w:r>
          </w:p>
        </w:tc>
        <w:tc>
          <w:tcPr>
            <w:tcW w:w="725" w:type="pct"/>
            <w:tcBorders>
              <w:top w:val="nil"/>
              <w:left w:val="nil"/>
              <w:bottom w:val="single" w:sz="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0.020</w:t>
            </w:r>
          </w:p>
        </w:tc>
      </w:tr>
      <w:tr w:rsidR="00B7354F" w:rsidRPr="00A441B1">
        <w:trPr>
          <w:jc w:val="center"/>
        </w:trPr>
        <w:tc>
          <w:tcPr>
            <w:tcW w:w="579" w:type="pct"/>
            <w:vMerge/>
            <w:tcBorders>
              <w:top w:val="nil"/>
              <w:left w:val="single" w:sz="18" w:space="0" w:color="000000"/>
              <w:bottom w:val="single" w:sz="18" w:space="0" w:color="000000"/>
              <w:right w:val="single" w:sz="8" w:space="0" w:color="000000"/>
            </w:tcBorders>
            <w:shd w:val="clear" w:color="auto" w:fill="FFFFFF"/>
            <w:vAlign w:val="center"/>
          </w:tcPr>
          <w:p w:rsidR="00B7354F" w:rsidRPr="00A441B1" w:rsidRDefault="00B7354F" w:rsidP="00E40494">
            <w:pPr>
              <w:bidi w:val="0"/>
              <w:spacing w:before="60" w:after="60"/>
              <w:jc w:val="center"/>
              <w:rPr>
                <w:color w:val="000000"/>
                <w:sz w:val="28"/>
                <w:szCs w:val="28"/>
              </w:rPr>
            </w:pPr>
          </w:p>
        </w:tc>
        <w:tc>
          <w:tcPr>
            <w:tcW w:w="1121" w:type="pct"/>
            <w:tcBorders>
              <w:top w:val="nil"/>
              <w:left w:val="nil"/>
              <w:bottom w:val="single" w:sz="1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V at 40 dB</w:t>
            </w:r>
          </w:p>
        </w:tc>
        <w:tc>
          <w:tcPr>
            <w:tcW w:w="539" w:type="pct"/>
            <w:tcBorders>
              <w:top w:val="nil"/>
              <w:left w:val="nil"/>
              <w:bottom w:val="single" w:sz="1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7.61</w:t>
            </w:r>
          </w:p>
        </w:tc>
        <w:tc>
          <w:tcPr>
            <w:tcW w:w="424" w:type="pct"/>
            <w:tcBorders>
              <w:top w:val="nil"/>
              <w:left w:val="nil"/>
              <w:bottom w:val="single" w:sz="1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0.47</w:t>
            </w:r>
          </w:p>
        </w:tc>
        <w:tc>
          <w:tcPr>
            <w:tcW w:w="515" w:type="pct"/>
            <w:tcBorders>
              <w:top w:val="nil"/>
              <w:left w:val="nil"/>
              <w:bottom w:val="single" w:sz="1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8.32</w:t>
            </w:r>
          </w:p>
        </w:tc>
        <w:tc>
          <w:tcPr>
            <w:tcW w:w="665" w:type="pct"/>
            <w:tcBorders>
              <w:top w:val="nil"/>
              <w:left w:val="nil"/>
              <w:bottom w:val="single" w:sz="1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0.23</w:t>
            </w:r>
          </w:p>
        </w:tc>
        <w:tc>
          <w:tcPr>
            <w:tcW w:w="432" w:type="pct"/>
            <w:tcBorders>
              <w:top w:val="nil"/>
              <w:left w:val="nil"/>
              <w:bottom w:val="single" w:sz="18" w:space="0" w:color="000000"/>
              <w:right w:val="single" w:sz="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6.068</w:t>
            </w:r>
          </w:p>
        </w:tc>
        <w:tc>
          <w:tcPr>
            <w:tcW w:w="725" w:type="pct"/>
            <w:tcBorders>
              <w:top w:val="nil"/>
              <w:left w:val="nil"/>
              <w:bottom w:val="single" w:sz="18" w:space="0" w:color="000000"/>
              <w:right w:val="single" w:sz="18" w:space="0" w:color="000000"/>
            </w:tcBorders>
            <w:noWrap/>
            <w:vAlign w:val="center"/>
          </w:tcPr>
          <w:p w:rsidR="00B7354F" w:rsidRPr="00A441B1" w:rsidRDefault="00B7354F" w:rsidP="00E40494">
            <w:pPr>
              <w:pStyle w:val="yiv8023259954msonormal"/>
              <w:spacing w:before="60" w:beforeAutospacing="0" w:after="60" w:afterAutospacing="0"/>
              <w:jc w:val="center"/>
              <w:rPr>
                <w:color w:val="000000"/>
                <w:sz w:val="28"/>
                <w:szCs w:val="28"/>
              </w:rPr>
            </w:pPr>
            <w:r w:rsidRPr="00A441B1">
              <w:rPr>
                <w:color w:val="000000"/>
                <w:sz w:val="28"/>
                <w:szCs w:val="28"/>
              </w:rPr>
              <w:t>0.000</w:t>
            </w:r>
          </w:p>
        </w:tc>
      </w:tr>
    </w:tbl>
    <w:p w:rsidR="00B7354F" w:rsidRPr="00AD6A82" w:rsidRDefault="00B7354F" w:rsidP="00CA0D5E">
      <w:pPr>
        <w:pStyle w:val="yiv8023259954msonormal"/>
        <w:shd w:val="clear" w:color="auto" w:fill="FFFFFF"/>
        <w:spacing w:before="0" w:beforeAutospacing="0" w:after="0" w:afterAutospacing="0"/>
        <w:ind w:left="720"/>
        <w:jc w:val="both"/>
        <w:rPr>
          <w:sz w:val="28"/>
          <w:szCs w:val="28"/>
        </w:rPr>
      </w:pPr>
      <w:r w:rsidRPr="00AD6A82">
        <w:rPr>
          <w:color w:val="000000"/>
          <w:sz w:val="28"/>
          <w:szCs w:val="28"/>
        </w:rPr>
        <w:t> </w:t>
      </w:r>
    </w:p>
    <w:p w:rsidR="00B7354F" w:rsidRPr="00A441B1" w:rsidRDefault="00B7354F" w:rsidP="00A441B1">
      <w:pPr>
        <w:bidi w:val="0"/>
        <w:jc w:val="both"/>
        <w:rPr>
          <w:sz w:val="28"/>
          <w:szCs w:val="28"/>
        </w:rPr>
      </w:pPr>
      <w:r w:rsidRPr="00A4326F">
        <w:rPr>
          <w:sz w:val="28"/>
          <w:szCs w:val="28"/>
        </w:rPr>
        <w:t>This table shows that there is a highly statistically significant difference between jaundiced group and control group in absolute and interpeak latencies before treatment in the right and left ear.</w:t>
      </w:r>
    </w:p>
    <w:p w:rsidR="00B7354F" w:rsidRDefault="00B7354F" w:rsidP="00CA0D5E">
      <w:pPr>
        <w:bidi w:val="0"/>
        <w:jc w:val="both"/>
        <w:rPr>
          <w:b/>
          <w:bCs/>
          <w:sz w:val="28"/>
          <w:szCs w:val="28"/>
        </w:rPr>
      </w:pPr>
    </w:p>
    <w:p w:rsidR="00B7354F" w:rsidRDefault="00B7354F" w:rsidP="00CA0D5E">
      <w:pPr>
        <w:bidi w:val="0"/>
        <w:jc w:val="both"/>
        <w:rPr>
          <w:sz w:val="28"/>
          <w:szCs w:val="28"/>
        </w:rPr>
      </w:pPr>
      <w:r w:rsidRPr="00C364BC">
        <w:rPr>
          <w:b/>
          <w:bCs/>
          <w:sz w:val="28"/>
          <w:szCs w:val="28"/>
        </w:rPr>
        <w:t>Table (2)</w:t>
      </w:r>
      <w:r w:rsidRPr="00C364BC">
        <w:rPr>
          <w:sz w:val="28"/>
          <w:szCs w:val="28"/>
        </w:rPr>
        <w:t xml:space="preserve"> Comparison between jaundiced group and control group regarding wave morphology before treatment</w:t>
      </w:r>
    </w:p>
    <w:p w:rsidR="00B7354F" w:rsidRPr="00C364BC" w:rsidRDefault="00B7354F" w:rsidP="00CA0D5E">
      <w:pPr>
        <w:bidi w:val="0"/>
        <w:jc w:val="both"/>
        <w:rPr>
          <w:sz w:val="28"/>
          <w:szCs w:val="28"/>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000"/>
      </w:tblPr>
      <w:tblGrid>
        <w:gridCol w:w="732"/>
        <w:gridCol w:w="1149"/>
        <w:gridCol w:w="1362"/>
        <w:gridCol w:w="594"/>
        <w:gridCol w:w="1016"/>
        <w:gridCol w:w="720"/>
        <w:gridCol w:w="1226"/>
        <w:gridCol w:w="788"/>
        <w:gridCol w:w="943"/>
      </w:tblGrid>
      <w:tr w:rsidR="00B7354F" w:rsidRPr="00C364BC">
        <w:trPr>
          <w:trHeight w:val="516"/>
          <w:jc w:val="center"/>
        </w:trPr>
        <w:tc>
          <w:tcPr>
            <w:tcW w:w="3243" w:type="dxa"/>
            <w:gridSpan w:val="3"/>
            <w:vMerge w:val="restart"/>
            <w:tcBorders>
              <w:top w:val="single" w:sz="18" w:space="0" w:color="000000"/>
            </w:tcBorders>
            <w:noWrap/>
            <w:vAlign w:val="center"/>
          </w:tcPr>
          <w:p w:rsidR="00B7354F" w:rsidRPr="00C364BC" w:rsidRDefault="00B7354F" w:rsidP="00E40494">
            <w:pPr>
              <w:bidi w:val="0"/>
              <w:jc w:val="center"/>
              <w:rPr>
                <w:b/>
                <w:bCs/>
              </w:rPr>
            </w:pPr>
            <w:r w:rsidRPr="00C364BC">
              <w:rPr>
                <w:b/>
                <w:bCs/>
                <w:sz w:val="22"/>
                <w:szCs w:val="22"/>
              </w:rPr>
              <w:t>Wave morphology</w:t>
            </w:r>
          </w:p>
        </w:tc>
        <w:tc>
          <w:tcPr>
            <w:tcW w:w="1609" w:type="dxa"/>
            <w:gridSpan w:val="2"/>
            <w:tcBorders>
              <w:top w:val="single" w:sz="18" w:space="0" w:color="000000"/>
            </w:tcBorders>
            <w:noWrap/>
            <w:vAlign w:val="center"/>
          </w:tcPr>
          <w:p w:rsidR="00B7354F" w:rsidRPr="00C364BC" w:rsidRDefault="00B7354F" w:rsidP="00E40494">
            <w:pPr>
              <w:bidi w:val="0"/>
              <w:jc w:val="center"/>
              <w:rPr>
                <w:b/>
                <w:bCs/>
              </w:rPr>
            </w:pPr>
            <w:r w:rsidRPr="00C364BC">
              <w:rPr>
                <w:b/>
                <w:bCs/>
                <w:sz w:val="22"/>
                <w:szCs w:val="22"/>
              </w:rPr>
              <w:t>Control group</w:t>
            </w:r>
          </w:p>
        </w:tc>
        <w:tc>
          <w:tcPr>
            <w:tcW w:w="1945" w:type="dxa"/>
            <w:gridSpan w:val="2"/>
            <w:tcBorders>
              <w:top w:val="single" w:sz="18" w:space="0" w:color="000000"/>
            </w:tcBorders>
            <w:noWrap/>
            <w:vAlign w:val="center"/>
          </w:tcPr>
          <w:p w:rsidR="00B7354F" w:rsidRPr="00C364BC" w:rsidRDefault="00B7354F" w:rsidP="00E40494">
            <w:pPr>
              <w:bidi w:val="0"/>
              <w:jc w:val="center"/>
              <w:rPr>
                <w:b/>
                <w:bCs/>
              </w:rPr>
            </w:pPr>
            <w:r w:rsidRPr="00C364BC">
              <w:rPr>
                <w:b/>
                <w:bCs/>
                <w:sz w:val="22"/>
                <w:szCs w:val="22"/>
              </w:rPr>
              <w:t>Jaundiced group</w:t>
            </w:r>
          </w:p>
        </w:tc>
        <w:tc>
          <w:tcPr>
            <w:tcW w:w="1731" w:type="dxa"/>
            <w:gridSpan w:val="2"/>
            <w:tcBorders>
              <w:top w:val="single" w:sz="18" w:space="0" w:color="000000"/>
            </w:tcBorders>
            <w:noWrap/>
            <w:vAlign w:val="center"/>
          </w:tcPr>
          <w:p w:rsidR="00B7354F" w:rsidRPr="00C364BC" w:rsidRDefault="00B7354F" w:rsidP="00E40494">
            <w:pPr>
              <w:bidi w:val="0"/>
              <w:jc w:val="center"/>
              <w:rPr>
                <w:b/>
                <w:bCs/>
              </w:rPr>
            </w:pPr>
            <w:r w:rsidRPr="00C364BC">
              <w:rPr>
                <w:b/>
                <w:bCs/>
                <w:sz w:val="22"/>
                <w:szCs w:val="22"/>
              </w:rPr>
              <w:t>Chi-square test</w:t>
            </w:r>
          </w:p>
        </w:tc>
      </w:tr>
      <w:tr w:rsidR="00B7354F" w:rsidRPr="00C364BC">
        <w:trPr>
          <w:trHeight w:val="402"/>
          <w:jc w:val="center"/>
        </w:trPr>
        <w:tc>
          <w:tcPr>
            <w:tcW w:w="3243" w:type="dxa"/>
            <w:gridSpan w:val="3"/>
            <w:vMerge/>
            <w:vAlign w:val="center"/>
          </w:tcPr>
          <w:p w:rsidR="00B7354F" w:rsidRPr="00C364BC" w:rsidRDefault="00B7354F" w:rsidP="00E40494">
            <w:pPr>
              <w:bidi w:val="0"/>
              <w:jc w:val="center"/>
              <w:rPr>
                <w:b/>
                <w:bCs/>
              </w:rPr>
            </w:pPr>
          </w:p>
        </w:tc>
        <w:tc>
          <w:tcPr>
            <w:tcW w:w="594" w:type="dxa"/>
            <w:noWrap/>
            <w:vAlign w:val="center"/>
          </w:tcPr>
          <w:p w:rsidR="00B7354F" w:rsidRPr="00C364BC" w:rsidRDefault="00B7354F" w:rsidP="00E40494">
            <w:pPr>
              <w:bidi w:val="0"/>
              <w:jc w:val="center"/>
              <w:rPr>
                <w:b/>
                <w:bCs/>
              </w:rPr>
            </w:pPr>
            <w:r w:rsidRPr="00C364BC">
              <w:rPr>
                <w:b/>
                <w:bCs/>
                <w:sz w:val="22"/>
                <w:szCs w:val="22"/>
              </w:rPr>
              <w:t>No.</w:t>
            </w:r>
          </w:p>
        </w:tc>
        <w:tc>
          <w:tcPr>
            <w:tcW w:w="1016" w:type="dxa"/>
            <w:noWrap/>
            <w:vAlign w:val="center"/>
          </w:tcPr>
          <w:p w:rsidR="00B7354F" w:rsidRPr="00C364BC" w:rsidRDefault="00B7354F" w:rsidP="00E40494">
            <w:pPr>
              <w:bidi w:val="0"/>
              <w:jc w:val="center"/>
              <w:rPr>
                <w:b/>
                <w:bCs/>
              </w:rPr>
            </w:pPr>
            <w:r w:rsidRPr="00C364BC">
              <w:rPr>
                <w:b/>
                <w:bCs/>
                <w:sz w:val="22"/>
                <w:szCs w:val="22"/>
              </w:rPr>
              <w:t>%</w:t>
            </w:r>
          </w:p>
        </w:tc>
        <w:tc>
          <w:tcPr>
            <w:tcW w:w="720" w:type="dxa"/>
            <w:noWrap/>
            <w:vAlign w:val="center"/>
          </w:tcPr>
          <w:p w:rsidR="00B7354F" w:rsidRPr="00C364BC" w:rsidRDefault="00B7354F" w:rsidP="00E40494">
            <w:pPr>
              <w:bidi w:val="0"/>
              <w:jc w:val="center"/>
              <w:rPr>
                <w:b/>
                <w:bCs/>
              </w:rPr>
            </w:pPr>
            <w:r w:rsidRPr="00C364BC">
              <w:rPr>
                <w:b/>
                <w:bCs/>
                <w:sz w:val="22"/>
                <w:szCs w:val="22"/>
              </w:rPr>
              <w:t>No.</w:t>
            </w:r>
          </w:p>
        </w:tc>
        <w:tc>
          <w:tcPr>
            <w:tcW w:w="1226" w:type="dxa"/>
            <w:noWrap/>
            <w:vAlign w:val="center"/>
          </w:tcPr>
          <w:p w:rsidR="00B7354F" w:rsidRPr="00C364BC" w:rsidRDefault="00B7354F" w:rsidP="00E40494">
            <w:pPr>
              <w:bidi w:val="0"/>
              <w:jc w:val="center"/>
              <w:rPr>
                <w:b/>
                <w:bCs/>
              </w:rPr>
            </w:pPr>
            <w:r w:rsidRPr="00C364BC">
              <w:rPr>
                <w:b/>
                <w:bCs/>
                <w:sz w:val="22"/>
                <w:szCs w:val="22"/>
              </w:rPr>
              <w:t>%</w:t>
            </w:r>
          </w:p>
        </w:tc>
        <w:tc>
          <w:tcPr>
            <w:tcW w:w="788" w:type="dxa"/>
            <w:noWrap/>
            <w:vAlign w:val="center"/>
          </w:tcPr>
          <w:p w:rsidR="00B7354F" w:rsidRPr="00C364BC" w:rsidRDefault="00B7354F" w:rsidP="00E40494">
            <w:pPr>
              <w:bidi w:val="0"/>
              <w:jc w:val="center"/>
              <w:rPr>
                <w:b/>
                <w:bCs/>
              </w:rPr>
            </w:pPr>
            <w:r w:rsidRPr="00C364BC">
              <w:rPr>
                <w:b/>
                <w:bCs/>
                <w:sz w:val="22"/>
                <w:szCs w:val="22"/>
              </w:rPr>
              <w:t>X</w:t>
            </w:r>
            <w:r w:rsidRPr="00C364BC">
              <w:rPr>
                <w:b/>
                <w:bCs/>
                <w:sz w:val="22"/>
                <w:szCs w:val="22"/>
                <w:vertAlign w:val="superscript"/>
              </w:rPr>
              <w:t>2</w:t>
            </w:r>
          </w:p>
        </w:tc>
        <w:tc>
          <w:tcPr>
            <w:tcW w:w="943" w:type="dxa"/>
            <w:noWrap/>
            <w:vAlign w:val="center"/>
          </w:tcPr>
          <w:p w:rsidR="00B7354F" w:rsidRPr="00C364BC" w:rsidRDefault="00B7354F" w:rsidP="00E40494">
            <w:pPr>
              <w:bidi w:val="0"/>
              <w:jc w:val="center"/>
              <w:rPr>
                <w:b/>
                <w:bCs/>
              </w:rPr>
            </w:pPr>
            <w:r w:rsidRPr="00C364BC">
              <w:rPr>
                <w:b/>
                <w:bCs/>
                <w:sz w:val="22"/>
                <w:szCs w:val="22"/>
              </w:rPr>
              <w:t>P-value</w:t>
            </w:r>
          </w:p>
        </w:tc>
      </w:tr>
      <w:tr w:rsidR="00B7354F" w:rsidRPr="00C364BC">
        <w:trPr>
          <w:trHeight w:val="516"/>
          <w:jc w:val="center"/>
        </w:trPr>
        <w:tc>
          <w:tcPr>
            <w:tcW w:w="732" w:type="dxa"/>
            <w:vMerge w:val="restart"/>
            <w:noWrap/>
            <w:textDirection w:val="btLr"/>
            <w:vAlign w:val="center"/>
          </w:tcPr>
          <w:p w:rsidR="00B7354F" w:rsidRPr="00C364BC" w:rsidRDefault="00B7354F" w:rsidP="00E40494">
            <w:pPr>
              <w:bidi w:val="0"/>
              <w:ind w:left="113" w:right="113"/>
              <w:jc w:val="center"/>
            </w:pPr>
            <w:r w:rsidRPr="00C364BC">
              <w:rPr>
                <w:sz w:val="22"/>
                <w:szCs w:val="22"/>
              </w:rPr>
              <w:t>Right</w:t>
            </w:r>
          </w:p>
        </w:tc>
        <w:tc>
          <w:tcPr>
            <w:tcW w:w="1149" w:type="dxa"/>
            <w:vMerge w:val="restart"/>
            <w:noWrap/>
            <w:vAlign w:val="center"/>
          </w:tcPr>
          <w:p w:rsidR="00B7354F" w:rsidRPr="00C364BC" w:rsidRDefault="00B7354F" w:rsidP="00E40494">
            <w:pPr>
              <w:bidi w:val="0"/>
              <w:jc w:val="center"/>
            </w:pPr>
            <w:r w:rsidRPr="00C364BC">
              <w:rPr>
                <w:sz w:val="22"/>
                <w:szCs w:val="22"/>
              </w:rPr>
              <w:t>I</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15</w:t>
            </w:r>
          </w:p>
        </w:tc>
        <w:tc>
          <w:tcPr>
            <w:tcW w:w="1016" w:type="dxa"/>
            <w:noWrap/>
            <w:vAlign w:val="center"/>
          </w:tcPr>
          <w:p w:rsidR="00B7354F" w:rsidRPr="00C364BC" w:rsidRDefault="00B7354F" w:rsidP="00E40494">
            <w:pPr>
              <w:bidi w:val="0"/>
              <w:jc w:val="center"/>
            </w:pPr>
            <w:r w:rsidRPr="00C364BC">
              <w:rPr>
                <w:sz w:val="22"/>
                <w:szCs w:val="22"/>
              </w:rPr>
              <w:t>75.0%</w:t>
            </w:r>
          </w:p>
        </w:tc>
        <w:tc>
          <w:tcPr>
            <w:tcW w:w="720" w:type="dxa"/>
            <w:noWrap/>
            <w:vAlign w:val="center"/>
          </w:tcPr>
          <w:p w:rsidR="00B7354F" w:rsidRPr="00C364BC" w:rsidRDefault="00B7354F" w:rsidP="00E40494">
            <w:pPr>
              <w:bidi w:val="0"/>
              <w:jc w:val="center"/>
            </w:pPr>
            <w:r w:rsidRPr="00C364BC">
              <w:rPr>
                <w:sz w:val="22"/>
                <w:szCs w:val="22"/>
              </w:rPr>
              <w:t>4</w:t>
            </w:r>
          </w:p>
        </w:tc>
        <w:tc>
          <w:tcPr>
            <w:tcW w:w="1226" w:type="dxa"/>
            <w:noWrap/>
            <w:vAlign w:val="center"/>
          </w:tcPr>
          <w:p w:rsidR="00B7354F" w:rsidRPr="00C364BC" w:rsidRDefault="00B7354F" w:rsidP="00E40494">
            <w:pPr>
              <w:bidi w:val="0"/>
              <w:jc w:val="center"/>
            </w:pPr>
            <w:r w:rsidRPr="00C364BC">
              <w:rPr>
                <w:sz w:val="22"/>
                <w:szCs w:val="22"/>
              </w:rPr>
              <w:t>13.3%</w:t>
            </w:r>
          </w:p>
        </w:tc>
        <w:tc>
          <w:tcPr>
            <w:tcW w:w="788" w:type="dxa"/>
            <w:vMerge w:val="restart"/>
            <w:noWrap/>
            <w:vAlign w:val="center"/>
          </w:tcPr>
          <w:p w:rsidR="00B7354F" w:rsidRPr="00C364BC" w:rsidRDefault="00B7354F" w:rsidP="00E40494">
            <w:pPr>
              <w:bidi w:val="0"/>
              <w:jc w:val="center"/>
            </w:pPr>
            <w:r w:rsidRPr="00C364BC">
              <w:rPr>
                <w:sz w:val="22"/>
                <w:szCs w:val="22"/>
              </w:rPr>
              <w:t>24.022</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5</w:t>
            </w:r>
          </w:p>
        </w:tc>
        <w:tc>
          <w:tcPr>
            <w:tcW w:w="1016" w:type="dxa"/>
            <w:noWrap/>
            <w:vAlign w:val="center"/>
          </w:tcPr>
          <w:p w:rsidR="00B7354F" w:rsidRPr="00C364BC" w:rsidRDefault="00B7354F" w:rsidP="00E40494">
            <w:pPr>
              <w:bidi w:val="0"/>
              <w:jc w:val="center"/>
            </w:pPr>
            <w:r w:rsidRPr="00C364BC">
              <w:rPr>
                <w:sz w:val="22"/>
                <w:szCs w:val="22"/>
              </w:rPr>
              <w:t>25.0%</w:t>
            </w:r>
          </w:p>
        </w:tc>
        <w:tc>
          <w:tcPr>
            <w:tcW w:w="720" w:type="dxa"/>
            <w:noWrap/>
            <w:vAlign w:val="center"/>
          </w:tcPr>
          <w:p w:rsidR="00B7354F" w:rsidRPr="00C364BC" w:rsidRDefault="00B7354F" w:rsidP="00E40494">
            <w:pPr>
              <w:bidi w:val="0"/>
              <w:jc w:val="center"/>
            </w:pPr>
            <w:r w:rsidRPr="00C364BC">
              <w:rPr>
                <w:sz w:val="22"/>
                <w:szCs w:val="22"/>
              </w:rPr>
              <w:t>8</w:t>
            </w:r>
          </w:p>
        </w:tc>
        <w:tc>
          <w:tcPr>
            <w:tcW w:w="1226" w:type="dxa"/>
            <w:noWrap/>
            <w:vAlign w:val="center"/>
          </w:tcPr>
          <w:p w:rsidR="00B7354F" w:rsidRPr="00C364BC" w:rsidRDefault="00B7354F" w:rsidP="00E40494">
            <w:pPr>
              <w:bidi w:val="0"/>
              <w:jc w:val="center"/>
            </w:pPr>
            <w:r w:rsidRPr="00C364BC">
              <w:rPr>
                <w:sz w:val="22"/>
                <w:szCs w:val="22"/>
              </w:rPr>
              <w:t>26.7%</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Absent wave</w:t>
            </w:r>
          </w:p>
        </w:tc>
        <w:tc>
          <w:tcPr>
            <w:tcW w:w="594" w:type="dxa"/>
            <w:noWrap/>
            <w:vAlign w:val="center"/>
          </w:tcPr>
          <w:p w:rsidR="00B7354F" w:rsidRPr="00C364BC" w:rsidRDefault="00B7354F" w:rsidP="00E40494">
            <w:pPr>
              <w:bidi w:val="0"/>
              <w:jc w:val="center"/>
            </w:pPr>
            <w:r w:rsidRPr="00C364BC">
              <w:rPr>
                <w:sz w:val="22"/>
                <w:szCs w:val="22"/>
              </w:rPr>
              <w:t>0</w:t>
            </w:r>
          </w:p>
        </w:tc>
        <w:tc>
          <w:tcPr>
            <w:tcW w:w="1016" w:type="dxa"/>
            <w:noWrap/>
            <w:vAlign w:val="center"/>
          </w:tcPr>
          <w:p w:rsidR="00B7354F" w:rsidRPr="00C364BC" w:rsidRDefault="00B7354F" w:rsidP="00E40494">
            <w:pPr>
              <w:bidi w:val="0"/>
              <w:jc w:val="center"/>
            </w:pPr>
            <w:r w:rsidRPr="00C364BC">
              <w:rPr>
                <w:sz w:val="22"/>
                <w:szCs w:val="22"/>
              </w:rPr>
              <w:t>0.0%</w:t>
            </w:r>
          </w:p>
        </w:tc>
        <w:tc>
          <w:tcPr>
            <w:tcW w:w="720" w:type="dxa"/>
            <w:noWrap/>
            <w:vAlign w:val="center"/>
          </w:tcPr>
          <w:p w:rsidR="00B7354F" w:rsidRPr="00C364BC" w:rsidRDefault="00B7354F" w:rsidP="00E40494">
            <w:pPr>
              <w:bidi w:val="0"/>
              <w:jc w:val="center"/>
            </w:pPr>
            <w:r w:rsidRPr="00C364BC">
              <w:rPr>
                <w:sz w:val="22"/>
                <w:szCs w:val="22"/>
              </w:rPr>
              <w:t>18</w:t>
            </w:r>
          </w:p>
        </w:tc>
        <w:tc>
          <w:tcPr>
            <w:tcW w:w="1226" w:type="dxa"/>
            <w:noWrap/>
            <w:vAlign w:val="center"/>
          </w:tcPr>
          <w:p w:rsidR="00B7354F" w:rsidRPr="00C364BC" w:rsidRDefault="00B7354F" w:rsidP="00E40494">
            <w:pPr>
              <w:bidi w:val="0"/>
              <w:jc w:val="center"/>
            </w:pPr>
            <w:r w:rsidRPr="00C364BC">
              <w:rPr>
                <w:sz w:val="22"/>
                <w:szCs w:val="22"/>
              </w:rPr>
              <w:t>60.0%</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restart"/>
            <w:noWrap/>
            <w:vAlign w:val="center"/>
          </w:tcPr>
          <w:p w:rsidR="00B7354F" w:rsidRPr="00C364BC" w:rsidRDefault="00B7354F" w:rsidP="00E40494">
            <w:pPr>
              <w:bidi w:val="0"/>
              <w:jc w:val="center"/>
            </w:pPr>
            <w:r w:rsidRPr="00C364BC">
              <w:rPr>
                <w:sz w:val="22"/>
                <w:szCs w:val="22"/>
              </w:rPr>
              <w:t>III</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15</w:t>
            </w:r>
          </w:p>
        </w:tc>
        <w:tc>
          <w:tcPr>
            <w:tcW w:w="1016" w:type="dxa"/>
            <w:noWrap/>
            <w:vAlign w:val="center"/>
          </w:tcPr>
          <w:p w:rsidR="00B7354F" w:rsidRPr="00C364BC" w:rsidRDefault="00B7354F" w:rsidP="00E40494">
            <w:pPr>
              <w:bidi w:val="0"/>
              <w:jc w:val="center"/>
            </w:pPr>
            <w:r w:rsidRPr="00C364BC">
              <w:rPr>
                <w:sz w:val="22"/>
                <w:szCs w:val="22"/>
              </w:rPr>
              <w:t>75.0%</w:t>
            </w:r>
          </w:p>
        </w:tc>
        <w:tc>
          <w:tcPr>
            <w:tcW w:w="720" w:type="dxa"/>
            <w:noWrap/>
            <w:vAlign w:val="center"/>
          </w:tcPr>
          <w:p w:rsidR="00B7354F" w:rsidRPr="00C364BC" w:rsidRDefault="00B7354F" w:rsidP="00E40494">
            <w:pPr>
              <w:bidi w:val="0"/>
              <w:jc w:val="center"/>
            </w:pPr>
            <w:r w:rsidRPr="00C364BC">
              <w:rPr>
                <w:sz w:val="22"/>
                <w:szCs w:val="22"/>
              </w:rPr>
              <w:t>4</w:t>
            </w:r>
          </w:p>
        </w:tc>
        <w:tc>
          <w:tcPr>
            <w:tcW w:w="1226" w:type="dxa"/>
            <w:noWrap/>
            <w:vAlign w:val="center"/>
          </w:tcPr>
          <w:p w:rsidR="00B7354F" w:rsidRPr="00C364BC" w:rsidRDefault="00B7354F" w:rsidP="00E40494">
            <w:pPr>
              <w:bidi w:val="0"/>
              <w:jc w:val="center"/>
            </w:pPr>
            <w:r w:rsidRPr="00C364BC">
              <w:rPr>
                <w:sz w:val="22"/>
                <w:szCs w:val="22"/>
              </w:rPr>
              <w:t>13.3%</w:t>
            </w:r>
          </w:p>
        </w:tc>
        <w:tc>
          <w:tcPr>
            <w:tcW w:w="788" w:type="dxa"/>
            <w:vMerge w:val="restart"/>
            <w:noWrap/>
            <w:vAlign w:val="center"/>
          </w:tcPr>
          <w:p w:rsidR="00B7354F" w:rsidRPr="00C364BC" w:rsidRDefault="00B7354F" w:rsidP="00E40494">
            <w:pPr>
              <w:bidi w:val="0"/>
              <w:jc w:val="center"/>
            </w:pPr>
            <w:r w:rsidRPr="00C364BC">
              <w:rPr>
                <w:sz w:val="22"/>
                <w:szCs w:val="22"/>
              </w:rPr>
              <w:t>22.953</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5</w:t>
            </w:r>
          </w:p>
        </w:tc>
        <w:tc>
          <w:tcPr>
            <w:tcW w:w="1016" w:type="dxa"/>
            <w:noWrap/>
            <w:vAlign w:val="center"/>
          </w:tcPr>
          <w:p w:rsidR="00B7354F" w:rsidRPr="00C364BC" w:rsidRDefault="00B7354F" w:rsidP="00E40494">
            <w:pPr>
              <w:bidi w:val="0"/>
              <w:jc w:val="center"/>
            </w:pPr>
            <w:r w:rsidRPr="00C364BC">
              <w:rPr>
                <w:sz w:val="22"/>
                <w:szCs w:val="22"/>
              </w:rPr>
              <w:t>25.0%</w:t>
            </w:r>
          </w:p>
        </w:tc>
        <w:tc>
          <w:tcPr>
            <w:tcW w:w="720" w:type="dxa"/>
            <w:noWrap/>
            <w:vAlign w:val="center"/>
          </w:tcPr>
          <w:p w:rsidR="00B7354F" w:rsidRPr="00C364BC" w:rsidRDefault="00B7354F" w:rsidP="00E40494">
            <w:pPr>
              <w:bidi w:val="0"/>
              <w:jc w:val="center"/>
            </w:pPr>
            <w:r w:rsidRPr="00C364BC">
              <w:rPr>
                <w:sz w:val="22"/>
                <w:szCs w:val="22"/>
              </w:rPr>
              <w:t>10</w:t>
            </w:r>
          </w:p>
        </w:tc>
        <w:tc>
          <w:tcPr>
            <w:tcW w:w="1226" w:type="dxa"/>
            <w:noWrap/>
            <w:vAlign w:val="center"/>
          </w:tcPr>
          <w:p w:rsidR="00B7354F" w:rsidRPr="00C364BC" w:rsidRDefault="00B7354F" w:rsidP="00E40494">
            <w:pPr>
              <w:bidi w:val="0"/>
              <w:jc w:val="center"/>
            </w:pPr>
            <w:r w:rsidRPr="00C364BC">
              <w:rPr>
                <w:sz w:val="22"/>
                <w:szCs w:val="22"/>
              </w:rPr>
              <w:t>33.3%</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Absent wave</w:t>
            </w:r>
          </w:p>
        </w:tc>
        <w:tc>
          <w:tcPr>
            <w:tcW w:w="594" w:type="dxa"/>
            <w:noWrap/>
            <w:vAlign w:val="center"/>
          </w:tcPr>
          <w:p w:rsidR="00B7354F" w:rsidRPr="00C364BC" w:rsidRDefault="00B7354F" w:rsidP="00E40494">
            <w:pPr>
              <w:bidi w:val="0"/>
              <w:jc w:val="center"/>
            </w:pPr>
            <w:r w:rsidRPr="00C364BC">
              <w:rPr>
                <w:sz w:val="22"/>
                <w:szCs w:val="22"/>
              </w:rPr>
              <w:t>0</w:t>
            </w:r>
          </w:p>
        </w:tc>
        <w:tc>
          <w:tcPr>
            <w:tcW w:w="1016" w:type="dxa"/>
            <w:noWrap/>
            <w:vAlign w:val="center"/>
          </w:tcPr>
          <w:p w:rsidR="00B7354F" w:rsidRPr="00C364BC" w:rsidRDefault="00B7354F" w:rsidP="00E40494">
            <w:pPr>
              <w:bidi w:val="0"/>
              <w:jc w:val="center"/>
            </w:pPr>
            <w:r w:rsidRPr="00C364BC">
              <w:rPr>
                <w:sz w:val="22"/>
                <w:szCs w:val="22"/>
              </w:rPr>
              <w:t>0.0%</w:t>
            </w:r>
          </w:p>
        </w:tc>
        <w:tc>
          <w:tcPr>
            <w:tcW w:w="720" w:type="dxa"/>
            <w:noWrap/>
            <w:vAlign w:val="center"/>
          </w:tcPr>
          <w:p w:rsidR="00B7354F" w:rsidRPr="00C364BC" w:rsidRDefault="00B7354F" w:rsidP="00E40494">
            <w:pPr>
              <w:bidi w:val="0"/>
              <w:jc w:val="center"/>
            </w:pPr>
            <w:r w:rsidRPr="00C364BC">
              <w:rPr>
                <w:sz w:val="22"/>
                <w:szCs w:val="22"/>
              </w:rPr>
              <w:t>16</w:t>
            </w:r>
          </w:p>
        </w:tc>
        <w:tc>
          <w:tcPr>
            <w:tcW w:w="1226" w:type="dxa"/>
            <w:noWrap/>
            <w:vAlign w:val="center"/>
          </w:tcPr>
          <w:p w:rsidR="00B7354F" w:rsidRPr="00C364BC" w:rsidRDefault="00B7354F" w:rsidP="00E40494">
            <w:pPr>
              <w:bidi w:val="0"/>
              <w:jc w:val="center"/>
            </w:pPr>
            <w:r w:rsidRPr="00C364BC">
              <w:rPr>
                <w:sz w:val="22"/>
                <w:szCs w:val="22"/>
              </w:rPr>
              <w:t>53.3%</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restart"/>
            <w:noWrap/>
            <w:vAlign w:val="center"/>
          </w:tcPr>
          <w:p w:rsidR="00B7354F" w:rsidRPr="00C364BC" w:rsidRDefault="00B7354F" w:rsidP="00E40494">
            <w:pPr>
              <w:bidi w:val="0"/>
              <w:jc w:val="center"/>
            </w:pPr>
            <w:r w:rsidRPr="00C364BC">
              <w:rPr>
                <w:sz w:val="22"/>
                <w:szCs w:val="22"/>
              </w:rPr>
              <w:t>V</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16</w:t>
            </w:r>
          </w:p>
        </w:tc>
        <w:tc>
          <w:tcPr>
            <w:tcW w:w="1016" w:type="dxa"/>
            <w:noWrap/>
            <w:vAlign w:val="center"/>
          </w:tcPr>
          <w:p w:rsidR="00B7354F" w:rsidRPr="00C364BC" w:rsidRDefault="00B7354F" w:rsidP="00E40494">
            <w:pPr>
              <w:bidi w:val="0"/>
              <w:jc w:val="center"/>
            </w:pPr>
            <w:r w:rsidRPr="00C364BC">
              <w:rPr>
                <w:sz w:val="22"/>
                <w:szCs w:val="22"/>
              </w:rPr>
              <w:t>80.0%</w:t>
            </w:r>
          </w:p>
        </w:tc>
        <w:tc>
          <w:tcPr>
            <w:tcW w:w="720" w:type="dxa"/>
            <w:noWrap/>
            <w:vAlign w:val="center"/>
          </w:tcPr>
          <w:p w:rsidR="00B7354F" w:rsidRPr="00C364BC" w:rsidRDefault="00B7354F" w:rsidP="00E40494">
            <w:pPr>
              <w:bidi w:val="0"/>
              <w:jc w:val="center"/>
            </w:pPr>
            <w:r w:rsidRPr="00C364BC">
              <w:rPr>
                <w:sz w:val="22"/>
                <w:szCs w:val="22"/>
              </w:rPr>
              <w:t>3</w:t>
            </w:r>
          </w:p>
        </w:tc>
        <w:tc>
          <w:tcPr>
            <w:tcW w:w="1226" w:type="dxa"/>
            <w:noWrap/>
            <w:vAlign w:val="center"/>
          </w:tcPr>
          <w:p w:rsidR="00B7354F" w:rsidRPr="00C364BC" w:rsidRDefault="00B7354F" w:rsidP="00E40494">
            <w:pPr>
              <w:bidi w:val="0"/>
              <w:jc w:val="center"/>
            </w:pPr>
            <w:r w:rsidRPr="00C364BC">
              <w:rPr>
                <w:sz w:val="22"/>
                <w:szCs w:val="22"/>
              </w:rPr>
              <w:t>10.0%</w:t>
            </w:r>
          </w:p>
        </w:tc>
        <w:tc>
          <w:tcPr>
            <w:tcW w:w="788" w:type="dxa"/>
            <w:vMerge w:val="restart"/>
            <w:noWrap/>
            <w:vAlign w:val="center"/>
          </w:tcPr>
          <w:p w:rsidR="00B7354F" w:rsidRPr="00C364BC" w:rsidRDefault="00B7354F" w:rsidP="00E40494">
            <w:pPr>
              <w:bidi w:val="0"/>
              <w:jc w:val="center"/>
            </w:pPr>
            <w:r w:rsidRPr="00C364BC">
              <w:rPr>
                <w:sz w:val="22"/>
                <w:szCs w:val="22"/>
              </w:rPr>
              <w:t>26.316</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4</w:t>
            </w:r>
          </w:p>
        </w:tc>
        <w:tc>
          <w:tcPr>
            <w:tcW w:w="1016" w:type="dxa"/>
            <w:noWrap/>
            <w:vAlign w:val="center"/>
          </w:tcPr>
          <w:p w:rsidR="00B7354F" w:rsidRPr="00C364BC" w:rsidRDefault="00B7354F" w:rsidP="00E40494">
            <w:pPr>
              <w:bidi w:val="0"/>
              <w:jc w:val="center"/>
            </w:pPr>
            <w:r w:rsidRPr="00C364BC">
              <w:rPr>
                <w:sz w:val="22"/>
                <w:szCs w:val="22"/>
              </w:rPr>
              <w:t>20.0%</w:t>
            </w:r>
          </w:p>
        </w:tc>
        <w:tc>
          <w:tcPr>
            <w:tcW w:w="720" w:type="dxa"/>
            <w:noWrap/>
            <w:vAlign w:val="center"/>
          </w:tcPr>
          <w:p w:rsidR="00B7354F" w:rsidRPr="00C364BC" w:rsidRDefault="00B7354F" w:rsidP="00E40494">
            <w:pPr>
              <w:bidi w:val="0"/>
              <w:jc w:val="center"/>
            </w:pPr>
            <w:r w:rsidRPr="00C364BC">
              <w:rPr>
                <w:sz w:val="22"/>
                <w:szCs w:val="22"/>
              </w:rPr>
              <w:t>15</w:t>
            </w:r>
          </w:p>
        </w:tc>
        <w:tc>
          <w:tcPr>
            <w:tcW w:w="1226" w:type="dxa"/>
            <w:noWrap/>
            <w:vAlign w:val="center"/>
          </w:tcPr>
          <w:p w:rsidR="00B7354F" w:rsidRPr="00C364BC" w:rsidRDefault="00B7354F" w:rsidP="00E40494">
            <w:pPr>
              <w:bidi w:val="0"/>
              <w:jc w:val="center"/>
            </w:pPr>
            <w:r w:rsidRPr="00C364BC">
              <w:rPr>
                <w:sz w:val="22"/>
                <w:szCs w:val="22"/>
              </w:rPr>
              <w:t>50.0%</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Absent wave</w:t>
            </w:r>
          </w:p>
        </w:tc>
        <w:tc>
          <w:tcPr>
            <w:tcW w:w="594" w:type="dxa"/>
            <w:noWrap/>
            <w:vAlign w:val="center"/>
          </w:tcPr>
          <w:p w:rsidR="00B7354F" w:rsidRPr="00C364BC" w:rsidRDefault="00B7354F" w:rsidP="00E40494">
            <w:pPr>
              <w:bidi w:val="0"/>
              <w:jc w:val="center"/>
            </w:pPr>
            <w:r w:rsidRPr="00C364BC">
              <w:rPr>
                <w:sz w:val="22"/>
                <w:szCs w:val="22"/>
              </w:rPr>
              <w:t>0</w:t>
            </w:r>
          </w:p>
        </w:tc>
        <w:tc>
          <w:tcPr>
            <w:tcW w:w="1016" w:type="dxa"/>
            <w:noWrap/>
            <w:vAlign w:val="center"/>
          </w:tcPr>
          <w:p w:rsidR="00B7354F" w:rsidRPr="00C364BC" w:rsidRDefault="00B7354F" w:rsidP="00E40494">
            <w:pPr>
              <w:bidi w:val="0"/>
              <w:jc w:val="center"/>
            </w:pPr>
            <w:r w:rsidRPr="00C364BC">
              <w:rPr>
                <w:sz w:val="22"/>
                <w:szCs w:val="22"/>
              </w:rPr>
              <w:t>0.0%</w:t>
            </w:r>
          </w:p>
        </w:tc>
        <w:tc>
          <w:tcPr>
            <w:tcW w:w="720" w:type="dxa"/>
            <w:noWrap/>
            <w:vAlign w:val="center"/>
          </w:tcPr>
          <w:p w:rsidR="00B7354F" w:rsidRPr="00C364BC" w:rsidRDefault="00B7354F" w:rsidP="00E40494">
            <w:pPr>
              <w:bidi w:val="0"/>
              <w:jc w:val="center"/>
            </w:pPr>
            <w:r w:rsidRPr="00C364BC">
              <w:rPr>
                <w:sz w:val="22"/>
                <w:szCs w:val="22"/>
              </w:rPr>
              <w:t>12</w:t>
            </w:r>
          </w:p>
        </w:tc>
        <w:tc>
          <w:tcPr>
            <w:tcW w:w="1226" w:type="dxa"/>
            <w:noWrap/>
            <w:vAlign w:val="center"/>
          </w:tcPr>
          <w:p w:rsidR="00B7354F" w:rsidRPr="00C364BC" w:rsidRDefault="00B7354F" w:rsidP="00E40494">
            <w:pPr>
              <w:bidi w:val="0"/>
              <w:jc w:val="center"/>
            </w:pPr>
            <w:r w:rsidRPr="00C364BC">
              <w:rPr>
                <w:sz w:val="22"/>
                <w:szCs w:val="22"/>
              </w:rPr>
              <w:t>40.0%</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restart"/>
            <w:noWrap/>
            <w:vAlign w:val="center"/>
          </w:tcPr>
          <w:p w:rsidR="00B7354F" w:rsidRPr="00C364BC" w:rsidRDefault="00B7354F" w:rsidP="00E40494">
            <w:pPr>
              <w:bidi w:val="0"/>
              <w:jc w:val="center"/>
            </w:pPr>
            <w:r w:rsidRPr="00C364BC">
              <w:rPr>
                <w:sz w:val="22"/>
                <w:szCs w:val="22"/>
              </w:rPr>
              <w:t>V at 40 dB</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15</w:t>
            </w:r>
          </w:p>
        </w:tc>
        <w:tc>
          <w:tcPr>
            <w:tcW w:w="1016" w:type="dxa"/>
            <w:noWrap/>
            <w:vAlign w:val="center"/>
          </w:tcPr>
          <w:p w:rsidR="00B7354F" w:rsidRPr="00C364BC" w:rsidRDefault="00B7354F" w:rsidP="00E40494">
            <w:pPr>
              <w:bidi w:val="0"/>
              <w:jc w:val="center"/>
            </w:pPr>
            <w:r w:rsidRPr="00C364BC">
              <w:rPr>
                <w:sz w:val="22"/>
                <w:szCs w:val="22"/>
              </w:rPr>
              <w:t>75.0%</w:t>
            </w:r>
          </w:p>
        </w:tc>
        <w:tc>
          <w:tcPr>
            <w:tcW w:w="720" w:type="dxa"/>
            <w:noWrap/>
            <w:vAlign w:val="center"/>
          </w:tcPr>
          <w:p w:rsidR="00B7354F" w:rsidRPr="00C364BC" w:rsidRDefault="00B7354F" w:rsidP="00E40494">
            <w:pPr>
              <w:bidi w:val="0"/>
              <w:jc w:val="center"/>
            </w:pPr>
            <w:r w:rsidRPr="00C364BC">
              <w:rPr>
                <w:sz w:val="22"/>
                <w:szCs w:val="22"/>
              </w:rPr>
              <w:t>3</w:t>
            </w:r>
          </w:p>
        </w:tc>
        <w:tc>
          <w:tcPr>
            <w:tcW w:w="1226" w:type="dxa"/>
            <w:noWrap/>
            <w:vAlign w:val="center"/>
          </w:tcPr>
          <w:p w:rsidR="00B7354F" w:rsidRPr="00C364BC" w:rsidRDefault="00B7354F" w:rsidP="00E40494">
            <w:pPr>
              <w:bidi w:val="0"/>
              <w:jc w:val="center"/>
            </w:pPr>
            <w:r w:rsidRPr="00C364BC">
              <w:rPr>
                <w:sz w:val="22"/>
                <w:szCs w:val="22"/>
              </w:rPr>
              <w:t>10.0%</w:t>
            </w:r>
          </w:p>
        </w:tc>
        <w:tc>
          <w:tcPr>
            <w:tcW w:w="788" w:type="dxa"/>
            <w:vMerge w:val="restart"/>
            <w:noWrap/>
            <w:vAlign w:val="center"/>
          </w:tcPr>
          <w:p w:rsidR="00B7354F" w:rsidRPr="00C364BC" w:rsidRDefault="00B7354F" w:rsidP="00E40494">
            <w:pPr>
              <w:bidi w:val="0"/>
              <w:jc w:val="center"/>
            </w:pPr>
            <w:r w:rsidRPr="00C364BC">
              <w:rPr>
                <w:sz w:val="22"/>
                <w:szCs w:val="22"/>
              </w:rPr>
              <w:t>31.771</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5</w:t>
            </w:r>
          </w:p>
        </w:tc>
        <w:tc>
          <w:tcPr>
            <w:tcW w:w="1016" w:type="dxa"/>
            <w:noWrap/>
            <w:vAlign w:val="center"/>
          </w:tcPr>
          <w:p w:rsidR="00B7354F" w:rsidRPr="00C364BC" w:rsidRDefault="00B7354F" w:rsidP="00E40494">
            <w:pPr>
              <w:bidi w:val="0"/>
              <w:jc w:val="center"/>
            </w:pPr>
            <w:r w:rsidRPr="00C364BC">
              <w:rPr>
                <w:sz w:val="22"/>
                <w:szCs w:val="22"/>
              </w:rPr>
              <w:t>25.0%</w:t>
            </w:r>
          </w:p>
        </w:tc>
        <w:tc>
          <w:tcPr>
            <w:tcW w:w="720" w:type="dxa"/>
            <w:noWrap/>
            <w:vAlign w:val="center"/>
          </w:tcPr>
          <w:p w:rsidR="00B7354F" w:rsidRPr="00C364BC" w:rsidRDefault="00B7354F" w:rsidP="00E40494">
            <w:pPr>
              <w:bidi w:val="0"/>
              <w:jc w:val="center"/>
            </w:pPr>
            <w:r w:rsidRPr="00C364BC">
              <w:rPr>
                <w:sz w:val="22"/>
                <w:szCs w:val="22"/>
              </w:rPr>
              <w:t>3</w:t>
            </w:r>
          </w:p>
        </w:tc>
        <w:tc>
          <w:tcPr>
            <w:tcW w:w="1226" w:type="dxa"/>
            <w:noWrap/>
            <w:vAlign w:val="center"/>
          </w:tcPr>
          <w:p w:rsidR="00B7354F" w:rsidRPr="00C364BC" w:rsidRDefault="00B7354F" w:rsidP="00E40494">
            <w:pPr>
              <w:bidi w:val="0"/>
              <w:jc w:val="center"/>
            </w:pPr>
            <w:r w:rsidRPr="00C364BC">
              <w:rPr>
                <w:sz w:val="22"/>
                <w:szCs w:val="22"/>
              </w:rPr>
              <w:t>10.0%</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extDirection w:val="btLr"/>
            <w:vAlign w:val="center"/>
          </w:tcPr>
          <w:p w:rsidR="00B7354F" w:rsidRPr="00C364BC" w:rsidRDefault="00B7354F" w:rsidP="00E40494">
            <w:pPr>
              <w:bidi w:val="0"/>
              <w:ind w:left="113" w:right="113"/>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Absent wave</w:t>
            </w:r>
          </w:p>
        </w:tc>
        <w:tc>
          <w:tcPr>
            <w:tcW w:w="594" w:type="dxa"/>
            <w:noWrap/>
            <w:vAlign w:val="center"/>
          </w:tcPr>
          <w:p w:rsidR="00B7354F" w:rsidRPr="00C364BC" w:rsidRDefault="00B7354F" w:rsidP="00E40494">
            <w:pPr>
              <w:bidi w:val="0"/>
              <w:jc w:val="center"/>
            </w:pPr>
            <w:r w:rsidRPr="00C364BC">
              <w:rPr>
                <w:sz w:val="22"/>
                <w:szCs w:val="22"/>
              </w:rPr>
              <w:t>0</w:t>
            </w:r>
          </w:p>
        </w:tc>
        <w:tc>
          <w:tcPr>
            <w:tcW w:w="1016" w:type="dxa"/>
            <w:noWrap/>
            <w:vAlign w:val="center"/>
          </w:tcPr>
          <w:p w:rsidR="00B7354F" w:rsidRPr="00C364BC" w:rsidRDefault="00B7354F" w:rsidP="00E40494">
            <w:pPr>
              <w:bidi w:val="0"/>
              <w:jc w:val="center"/>
            </w:pPr>
            <w:r w:rsidRPr="00C364BC">
              <w:rPr>
                <w:sz w:val="22"/>
                <w:szCs w:val="22"/>
              </w:rPr>
              <w:t>0.0%</w:t>
            </w:r>
          </w:p>
        </w:tc>
        <w:tc>
          <w:tcPr>
            <w:tcW w:w="720" w:type="dxa"/>
            <w:noWrap/>
            <w:vAlign w:val="center"/>
          </w:tcPr>
          <w:p w:rsidR="00B7354F" w:rsidRPr="00C364BC" w:rsidRDefault="00B7354F" w:rsidP="00E40494">
            <w:pPr>
              <w:bidi w:val="0"/>
              <w:jc w:val="center"/>
            </w:pPr>
            <w:r w:rsidRPr="00C364BC">
              <w:rPr>
                <w:sz w:val="22"/>
                <w:szCs w:val="22"/>
              </w:rPr>
              <w:t>24</w:t>
            </w:r>
          </w:p>
        </w:tc>
        <w:tc>
          <w:tcPr>
            <w:tcW w:w="1226" w:type="dxa"/>
            <w:noWrap/>
            <w:vAlign w:val="center"/>
          </w:tcPr>
          <w:p w:rsidR="00B7354F" w:rsidRPr="00C364BC" w:rsidRDefault="00B7354F" w:rsidP="00E40494">
            <w:pPr>
              <w:bidi w:val="0"/>
              <w:jc w:val="center"/>
            </w:pPr>
            <w:r w:rsidRPr="00C364BC">
              <w:rPr>
                <w:sz w:val="22"/>
                <w:szCs w:val="22"/>
              </w:rPr>
              <w:t>80.0%</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516"/>
          <w:jc w:val="center"/>
        </w:trPr>
        <w:tc>
          <w:tcPr>
            <w:tcW w:w="732" w:type="dxa"/>
            <w:vMerge w:val="restart"/>
            <w:noWrap/>
            <w:textDirection w:val="btLr"/>
            <w:vAlign w:val="center"/>
          </w:tcPr>
          <w:p w:rsidR="00B7354F" w:rsidRPr="00C364BC" w:rsidRDefault="00B7354F" w:rsidP="00E40494">
            <w:pPr>
              <w:bidi w:val="0"/>
              <w:ind w:left="113" w:right="113"/>
              <w:jc w:val="center"/>
            </w:pPr>
            <w:r w:rsidRPr="00C364BC">
              <w:rPr>
                <w:sz w:val="22"/>
                <w:szCs w:val="22"/>
              </w:rPr>
              <w:t>Left</w:t>
            </w:r>
          </w:p>
        </w:tc>
        <w:tc>
          <w:tcPr>
            <w:tcW w:w="1149" w:type="dxa"/>
            <w:vMerge w:val="restart"/>
            <w:noWrap/>
            <w:vAlign w:val="center"/>
          </w:tcPr>
          <w:p w:rsidR="00B7354F" w:rsidRPr="00C364BC" w:rsidRDefault="00B7354F" w:rsidP="00E40494">
            <w:pPr>
              <w:bidi w:val="0"/>
              <w:jc w:val="center"/>
            </w:pPr>
            <w:r w:rsidRPr="00C364BC">
              <w:rPr>
                <w:sz w:val="22"/>
                <w:szCs w:val="22"/>
              </w:rPr>
              <w:t>I</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16</w:t>
            </w:r>
          </w:p>
        </w:tc>
        <w:tc>
          <w:tcPr>
            <w:tcW w:w="1016" w:type="dxa"/>
            <w:noWrap/>
            <w:vAlign w:val="center"/>
          </w:tcPr>
          <w:p w:rsidR="00B7354F" w:rsidRPr="00C364BC" w:rsidRDefault="00B7354F" w:rsidP="00E40494">
            <w:pPr>
              <w:bidi w:val="0"/>
              <w:jc w:val="center"/>
            </w:pPr>
            <w:r w:rsidRPr="00C364BC">
              <w:rPr>
                <w:sz w:val="22"/>
                <w:szCs w:val="22"/>
              </w:rPr>
              <w:t>80.0%</w:t>
            </w:r>
          </w:p>
        </w:tc>
        <w:tc>
          <w:tcPr>
            <w:tcW w:w="720" w:type="dxa"/>
            <w:noWrap/>
            <w:vAlign w:val="center"/>
          </w:tcPr>
          <w:p w:rsidR="00B7354F" w:rsidRPr="00C364BC" w:rsidRDefault="00B7354F" w:rsidP="00E40494">
            <w:pPr>
              <w:bidi w:val="0"/>
              <w:jc w:val="center"/>
            </w:pPr>
            <w:r w:rsidRPr="00C364BC">
              <w:rPr>
                <w:sz w:val="22"/>
                <w:szCs w:val="22"/>
              </w:rPr>
              <w:t>4</w:t>
            </w:r>
          </w:p>
        </w:tc>
        <w:tc>
          <w:tcPr>
            <w:tcW w:w="1226" w:type="dxa"/>
            <w:noWrap/>
            <w:vAlign w:val="center"/>
          </w:tcPr>
          <w:p w:rsidR="00B7354F" w:rsidRPr="00C364BC" w:rsidRDefault="00B7354F" w:rsidP="00E40494">
            <w:pPr>
              <w:bidi w:val="0"/>
              <w:jc w:val="center"/>
            </w:pPr>
            <w:r w:rsidRPr="00C364BC">
              <w:rPr>
                <w:sz w:val="22"/>
                <w:szCs w:val="22"/>
              </w:rPr>
              <w:t>13.3%</w:t>
            </w:r>
          </w:p>
        </w:tc>
        <w:tc>
          <w:tcPr>
            <w:tcW w:w="788" w:type="dxa"/>
            <w:vMerge w:val="restart"/>
            <w:noWrap/>
            <w:vAlign w:val="center"/>
          </w:tcPr>
          <w:p w:rsidR="00B7354F" w:rsidRPr="00C364BC" w:rsidRDefault="00B7354F" w:rsidP="00E40494">
            <w:pPr>
              <w:bidi w:val="0"/>
              <w:jc w:val="center"/>
            </w:pPr>
            <w:r w:rsidRPr="00C364BC">
              <w:rPr>
                <w:sz w:val="22"/>
                <w:szCs w:val="22"/>
              </w:rPr>
              <w:t>23.704</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4</w:t>
            </w:r>
          </w:p>
        </w:tc>
        <w:tc>
          <w:tcPr>
            <w:tcW w:w="1016" w:type="dxa"/>
            <w:noWrap/>
            <w:vAlign w:val="center"/>
          </w:tcPr>
          <w:p w:rsidR="00B7354F" w:rsidRPr="00C364BC" w:rsidRDefault="00B7354F" w:rsidP="00E40494">
            <w:pPr>
              <w:bidi w:val="0"/>
              <w:jc w:val="center"/>
            </w:pPr>
            <w:r w:rsidRPr="00C364BC">
              <w:rPr>
                <w:sz w:val="22"/>
                <w:szCs w:val="22"/>
              </w:rPr>
              <w:t>20.0%</w:t>
            </w:r>
          </w:p>
        </w:tc>
        <w:tc>
          <w:tcPr>
            <w:tcW w:w="720" w:type="dxa"/>
            <w:noWrap/>
            <w:vAlign w:val="center"/>
          </w:tcPr>
          <w:p w:rsidR="00B7354F" w:rsidRPr="00C364BC" w:rsidRDefault="00B7354F" w:rsidP="00E40494">
            <w:pPr>
              <w:bidi w:val="0"/>
              <w:jc w:val="center"/>
            </w:pPr>
            <w:r w:rsidRPr="00C364BC">
              <w:rPr>
                <w:sz w:val="22"/>
                <w:szCs w:val="22"/>
              </w:rPr>
              <w:t>14</w:t>
            </w:r>
          </w:p>
        </w:tc>
        <w:tc>
          <w:tcPr>
            <w:tcW w:w="1226" w:type="dxa"/>
            <w:noWrap/>
            <w:vAlign w:val="center"/>
          </w:tcPr>
          <w:p w:rsidR="00B7354F" w:rsidRPr="00C364BC" w:rsidRDefault="00B7354F" w:rsidP="00E40494">
            <w:pPr>
              <w:bidi w:val="0"/>
              <w:jc w:val="center"/>
            </w:pPr>
            <w:r w:rsidRPr="00C364BC">
              <w:rPr>
                <w:sz w:val="22"/>
                <w:szCs w:val="22"/>
              </w:rPr>
              <w:t>46.7%</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Absent wave</w:t>
            </w:r>
          </w:p>
        </w:tc>
        <w:tc>
          <w:tcPr>
            <w:tcW w:w="594" w:type="dxa"/>
            <w:noWrap/>
            <w:vAlign w:val="center"/>
          </w:tcPr>
          <w:p w:rsidR="00B7354F" w:rsidRPr="00C364BC" w:rsidRDefault="00B7354F" w:rsidP="00E40494">
            <w:pPr>
              <w:bidi w:val="0"/>
              <w:jc w:val="center"/>
            </w:pPr>
            <w:r w:rsidRPr="00C364BC">
              <w:rPr>
                <w:sz w:val="22"/>
                <w:szCs w:val="22"/>
              </w:rPr>
              <w:t>0</w:t>
            </w:r>
          </w:p>
        </w:tc>
        <w:tc>
          <w:tcPr>
            <w:tcW w:w="1016" w:type="dxa"/>
            <w:noWrap/>
            <w:vAlign w:val="center"/>
          </w:tcPr>
          <w:p w:rsidR="00B7354F" w:rsidRPr="00C364BC" w:rsidRDefault="00B7354F" w:rsidP="00E40494">
            <w:pPr>
              <w:bidi w:val="0"/>
              <w:jc w:val="center"/>
            </w:pPr>
            <w:r w:rsidRPr="00C364BC">
              <w:rPr>
                <w:sz w:val="22"/>
                <w:szCs w:val="22"/>
              </w:rPr>
              <w:t>0.0%</w:t>
            </w:r>
          </w:p>
        </w:tc>
        <w:tc>
          <w:tcPr>
            <w:tcW w:w="720" w:type="dxa"/>
            <w:noWrap/>
            <w:vAlign w:val="center"/>
          </w:tcPr>
          <w:p w:rsidR="00B7354F" w:rsidRPr="00C364BC" w:rsidRDefault="00B7354F" w:rsidP="00E40494">
            <w:pPr>
              <w:bidi w:val="0"/>
              <w:jc w:val="center"/>
            </w:pPr>
            <w:r w:rsidRPr="00C364BC">
              <w:rPr>
                <w:sz w:val="22"/>
                <w:szCs w:val="22"/>
              </w:rPr>
              <w:t>12</w:t>
            </w:r>
          </w:p>
        </w:tc>
        <w:tc>
          <w:tcPr>
            <w:tcW w:w="1226" w:type="dxa"/>
            <w:noWrap/>
            <w:vAlign w:val="center"/>
          </w:tcPr>
          <w:p w:rsidR="00B7354F" w:rsidRPr="00C364BC" w:rsidRDefault="00B7354F" w:rsidP="00E40494">
            <w:pPr>
              <w:bidi w:val="0"/>
              <w:jc w:val="center"/>
            </w:pPr>
            <w:r w:rsidRPr="00C364BC">
              <w:rPr>
                <w:sz w:val="22"/>
                <w:szCs w:val="22"/>
              </w:rPr>
              <w:t>40.0%</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restart"/>
            <w:noWrap/>
            <w:vAlign w:val="center"/>
          </w:tcPr>
          <w:p w:rsidR="00B7354F" w:rsidRPr="00C364BC" w:rsidRDefault="00B7354F" w:rsidP="00E40494">
            <w:pPr>
              <w:bidi w:val="0"/>
              <w:jc w:val="center"/>
            </w:pPr>
            <w:r w:rsidRPr="00C364BC">
              <w:rPr>
                <w:sz w:val="22"/>
                <w:szCs w:val="22"/>
              </w:rPr>
              <w:t>III</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15</w:t>
            </w:r>
          </w:p>
        </w:tc>
        <w:tc>
          <w:tcPr>
            <w:tcW w:w="1016" w:type="dxa"/>
            <w:noWrap/>
            <w:vAlign w:val="center"/>
          </w:tcPr>
          <w:p w:rsidR="00B7354F" w:rsidRPr="00C364BC" w:rsidRDefault="00B7354F" w:rsidP="00E40494">
            <w:pPr>
              <w:bidi w:val="0"/>
              <w:jc w:val="center"/>
            </w:pPr>
            <w:r w:rsidRPr="00C364BC">
              <w:rPr>
                <w:sz w:val="22"/>
                <w:szCs w:val="22"/>
              </w:rPr>
              <w:t>75.0%</w:t>
            </w:r>
          </w:p>
        </w:tc>
        <w:tc>
          <w:tcPr>
            <w:tcW w:w="720" w:type="dxa"/>
            <w:noWrap/>
            <w:vAlign w:val="center"/>
          </w:tcPr>
          <w:p w:rsidR="00B7354F" w:rsidRPr="00C364BC" w:rsidRDefault="00B7354F" w:rsidP="00E40494">
            <w:pPr>
              <w:bidi w:val="0"/>
              <w:jc w:val="center"/>
            </w:pPr>
            <w:r w:rsidRPr="00C364BC">
              <w:rPr>
                <w:sz w:val="22"/>
                <w:szCs w:val="22"/>
              </w:rPr>
              <w:t>3</w:t>
            </w:r>
          </w:p>
        </w:tc>
        <w:tc>
          <w:tcPr>
            <w:tcW w:w="1226" w:type="dxa"/>
            <w:noWrap/>
            <w:vAlign w:val="center"/>
          </w:tcPr>
          <w:p w:rsidR="00B7354F" w:rsidRPr="00C364BC" w:rsidRDefault="00B7354F" w:rsidP="00E40494">
            <w:pPr>
              <w:bidi w:val="0"/>
              <w:jc w:val="center"/>
            </w:pPr>
            <w:r w:rsidRPr="00C364BC">
              <w:rPr>
                <w:sz w:val="22"/>
                <w:szCs w:val="22"/>
              </w:rPr>
              <w:t>10.0%</w:t>
            </w:r>
          </w:p>
        </w:tc>
        <w:tc>
          <w:tcPr>
            <w:tcW w:w="788" w:type="dxa"/>
            <w:vMerge w:val="restart"/>
            <w:noWrap/>
            <w:vAlign w:val="center"/>
          </w:tcPr>
          <w:p w:rsidR="00B7354F" w:rsidRPr="00C364BC" w:rsidRDefault="00B7354F" w:rsidP="00E40494">
            <w:pPr>
              <w:bidi w:val="0"/>
              <w:jc w:val="center"/>
            </w:pPr>
            <w:r w:rsidRPr="00C364BC">
              <w:rPr>
                <w:sz w:val="22"/>
                <w:szCs w:val="22"/>
              </w:rPr>
              <w:t>25.694</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5</w:t>
            </w:r>
          </w:p>
        </w:tc>
        <w:tc>
          <w:tcPr>
            <w:tcW w:w="1016" w:type="dxa"/>
            <w:noWrap/>
            <w:vAlign w:val="center"/>
          </w:tcPr>
          <w:p w:rsidR="00B7354F" w:rsidRPr="00C364BC" w:rsidRDefault="00B7354F" w:rsidP="00E40494">
            <w:pPr>
              <w:bidi w:val="0"/>
              <w:jc w:val="center"/>
            </w:pPr>
            <w:r w:rsidRPr="00C364BC">
              <w:rPr>
                <w:sz w:val="22"/>
                <w:szCs w:val="22"/>
              </w:rPr>
              <w:t>25.0%</w:t>
            </w:r>
          </w:p>
        </w:tc>
        <w:tc>
          <w:tcPr>
            <w:tcW w:w="720" w:type="dxa"/>
            <w:noWrap/>
            <w:vAlign w:val="center"/>
          </w:tcPr>
          <w:p w:rsidR="00B7354F" w:rsidRPr="00C364BC" w:rsidRDefault="00B7354F" w:rsidP="00E40494">
            <w:pPr>
              <w:bidi w:val="0"/>
              <w:jc w:val="center"/>
            </w:pPr>
            <w:r w:rsidRPr="00C364BC">
              <w:rPr>
                <w:sz w:val="22"/>
                <w:szCs w:val="22"/>
              </w:rPr>
              <w:t>10</w:t>
            </w:r>
          </w:p>
        </w:tc>
        <w:tc>
          <w:tcPr>
            <w:tcW w:w="1226" w:type="dxa"/>
            <w:noWrap/>
            <w:vAlign w:val="center"/>
          </w:tcPr>
          <w:p w:rsidR="00B7354F" w:rsidRPr="00C364BC" w:rsidRDefault="00B7354F" w:rsidP="00E40494">
            <w:pPr>
              <w:bidi w:val="0"/>
              <w:jc w:val="center"/>
            </w:pPr>
            <w:r w:rsidRPr="00C364BC">
              <w:rPr>
                <w:sz w:val="22"/>
                <w:szCs w:val="22"/>
              </w:rPr>
              <w:t>33.3%</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Absent wave</w:t>
            </w:r>
          </w:p>
        </w:tc>
        <w:tc>
          <w:tcPr>
            <w:tcW w:w="594" w:type="dxa"/>
            <w:noWrap/>
            <w:vAlign w:val="center"/>
          </w:tcPr>
          <w:p w:rsidR="00B7354F" w:rsidRPr="00C364BC" w:rsidRDefault="00B7354F" w:rsidP="00E40494">
            <w:pPr>
              <w:bidi w:val="0"/>
              <w:jc w:val="center"/>
            </w:pPr>
            <w:r w:rsidRPr="00C364BC">
              <w:rPr>
                <w:sz w:val="22"/>
                <w:szCs w:val="22"/>
              </w:rPr>
              <w:t>0</w:t>
            </w:r>
          </w:p>
        </w:tc>
        <w:tc>
          <w:tcPr>
            <w:tcW w:w="1016" w:type="dxa"/>
            <w:noWrap/>
            <w:vAlign w:val="center"/>
          </w:tcPr>
          <w:p w:rsidR="00B7354F" w:rsidRPr="00C364BC" w:rsidRDefault="00B7354F" w:rsidP="00E40494">
            <w:pPr>
              <w:bidi w:val="0"/>
              <w:jc w:val="center"/>
            </w:pPr>
            <w:r w:rsidRPr="00C364BC">
              <w:rPr>
                <w:sz w:val="22"/>
                <w:szCs w:val="22"/>
              </w:rPr>
              <w:t>0.0%</w:t>
            </w:r>
          </w:p>
        </w:tc>
        <w:tc>
          <w:tcPr>
            <w:tcW w:w="720" w:type="dxa"/>
            <w:noWrap/>
            <w:vAlign w:val="center"/>
          </w:tcPr>
          <w:p w:rsidR="00B7354F" w:rsidRPr="00C364BC" w:rsidRDefault="00B7354F" w:rsidP="00E40494">
            <w:pPr>
              <w:bidi w:val="0"/>
              <w:jc w:val="center"/>
            </w:pPr>
            <w:r w:rsidRPr="00C364BC">
              <w:rPr>
                <w:sz w:val="22"/>
                <w:szCs w:val="22"/>
              </w:rPr>
              <w:t>17</w:t>
            </w:r>
          </w:p>
        </w:tc>
        <w:tc>
          <w:tcPr>
            <w:tcW w:w="1226" w:type="dxa"/>
            <w:noWrap/>
            <w:vAlign w:val="center"/>
          </w:tcPr>
          <w:p w:rsidR="00B7354F" w:rsidRPr="00C364BC" w:rsidRDefault="00B7354F" w:rsidP="00E40494">
            <w:pPr>
              <w:bidi w:val="0"/>
              <w:jc w:val="center"/>
            </w:pPr>
            <w:r w:rsidRPr="00C364BC">
              <w:rPr>
                <w:sz w:val="22"/>
                <w:szCs w:val="22"/>
              </w:rPr>
              <w:t>56.7%</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restart"/>
            <w:noWrap/>
            <w:vAlign w:val="center"/>
          </w:tcPr>
          <w:p w:rsidR="00B7354F" w:rsidRPr="00C364BC" w:rsidRDefault="00B7354F" w:rsidP="00E40494">
            <w:pPr>
              <w:bidi w:val="0"/>
              <w:jc w:val="center"/>
            </w:pPr>
            <w:r w:rsidRPr="00C364BC">
              <w:rPr>
                <w:sz w:val="22"/>
                <w:szCs w:val="22"/>
              </w:rPr>
              <w:t>V</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16</w:t>
            </w:r>
          </w:p>
        </w:tc>
        <w:tc>
          <w:tcPr>
            <w:tcW w:w="1016" w:type="dxa"/>
            <w:noWrap/>
            <w:vAlign w:val="center"/>
          </w:tcPr>
          <w:p w:rsidR="00B7354F" w:rsidRPr="00C364BC" w:rsidRDefault="00B7354F" w:rsidP="00E40494">
            <w:pPr>
              <w:bidi w:val="0"/>
              <w:jc w:val="center"/>
            </w:pPr>
            <w:r w:rsidRPr="00C364BC">
              <w:rPr>
                <w:sz w:val="22"/>
                <w:szCs w:val="22"/>
              </w:rPr>
              <w:t>80.0%</w:t>
            </w:r>
          </w:p>
        </w:tc>
        <w:tc>
          <w:tcPr>
            <w:tcW w:w="720" w:type="dxa"/>
            <w:noWrap/>
            <w:vAlign w:val="center"/>
          </w:tcPr>
          <w:p w:rsidR="00B7354F" w:rsidRPr="00C364BC" w:rsidRDefault="00B7354F" w:rsidP="00E40494">
            <w:pPr>
              <w:bidi w:val="0"/>
              <w:jc w:val="center"/>
            </w:pPr>
            <w:r w:rsidRPr="00C364BC">
              <w:rPr>
                <w:sz w:val="22"/>
                <w:szCs w:val="22"/>
              </w:rPr>
              <w:t>4</w:t>
            </w:r>
          </w:p>
        </w:tc>
        <w:tc>
          <w:tcPr>
            <w:tcW w:w="1226" w:type="dxa"/>
            <w:noWrap/>
            <w:vAlign w:val="center"/>
          </w:tcPr>
          <w:p w:rsidR="00B7354F" w:rsidRPr="00C364BC" w:rsidRDefault="00B7354F" w:rsidP="00E40494">
            <w:pPr>
              <w:bidi w:val="0"/>
              <w:jc w:val="center"/>
            </w:pPr>
            <w:r w:rsidRPr="00C364BC">
              <w:rPr>
                <w:sz w:val="22"/>
                <w:szCs w:val="22"/>
              </w:rPr>
              <w:t>13.3%</w:t>
            </w:r>
          </w:p>
        </w:tc>
        <w:tc>
          <w:tcPr>
            <w:tcW w:w="788" w:type="dxa"/>
            <w:vMerge w:val="restart"/>
            <w:noWrap/>
            <w:vAlign w:val="center"/>
          </w:tcPr>
          <w:p w:rsidR="00B7354F" w:rsidRPr="00C364BC" w:rsidRDefault="00B7354F" w:rsidP="00E40494">
            <w:pPr>
              <w:bidi w:val="0"/>
              <w:jc w:val="center"/>
            </w:pPr>
            <w:r w:rsidRPr="00C364BC">
              <w:rPr>
                <w:sz w:val="22"/>
                <w:szCs w:val="22"/>
              </w:rPr>
              <w:t>23.333</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4</w:t>
            </w:r>
          </w:p>
        </w:tc>
        <w:tc>
          <w:tcPr>
            <w:tcW w:w="1016" w:type="dxa"/>
            <w:noWrap/>
            <w:vAlign w:val="center"/>
          </w:tcPr>
          <w:p w:rsidR="00B7354F" w:rsidRPr="00C364BC" w:rsidRDefault="00B7354F" w:rsidP="00E40494">
            <w:pPr>
              <w:bidi w:val="0"/>
              <w:jc w:val="center"/>
            </w:pPr>
            <w:r w:rsidRPr="00C364BC">
              <w:rPr>
                <w:sz w:val="22"/>
                <w:szCs w:val="22"/>
              </w:rPr>
              <w:t>20.0%</w:t>
            </w:r>
          </w:p>
        </w:tc>
        <w:tc>
          <w:tcPr>
            <w:tcW w:w="720" w:type="dxa"/>
            <w:noWrap/>
            <w:vAlign w:val="center"/>
          </w:tcPr>
          <w:p w:rsidR="00B7354F" w:rsidRPr="00C364BC" w:rsidRDefault="00B7354F" w:rsidP="00E40494">
            <w:pPr>
              <w:bidi w:val="0"/>
              <w:jc w:val="center"/>
            </w:pPr>
            <w:r w:rsidRPr="00C364BC">
              <w:rPr>
                <w:sz w:val="22"/>
                <w:szCs w:val="22"/>
              </w:rPr>
              <w:t>16</w:t>
            </w:r>
          </w:p>
        </w:tc>
        <w:tc>
          <w:tcPr>
            <w:tcW w:w="1226" w:type="dxa"/>
            <w:noWrap/>
            <w:vAlign w:val="center"/>
          </w:tcPr>
          <w:p w:rsidR="00B7354F" w:rsidRPr="00C364BC" w:rsidRDefault="00B7354F" w:rsidP="00E40494">
            <w:pPr>
              <w:bidi w:val="0"/>
              <w:jc w:val="center"/>
            </w:pPr>
            <w:r w:rsidRPr="00C364BC">
              <w:rPr>
                <w:sz w:val="22"/>
                <w:szCs w:val="22"/>
              </w:rPr>
              <w:t>53.3%</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Absent wave</w:t>
            </w:r>
          </w:p>
        </w:tc>
        <w:tc>
          <w:tcPr>
            <w:tcW w:w="594" w:type="dxa"/>
            <w:noWrap/>
            <w:vAlign w:val="center"/>
          </w:tcPr>
          <w:p w:rsidR="00B7354F" w:rsidRPr="00C364BC" w:rsidRDefault="00B7354F" w:rsidP="00E40494">
            <w:pPr>
              <w:bidi w:val="0"/>
              <w:jc w:val="center"/>
            </w:pPr>
            <w:r w:rsidRPr="00C364BC">
              <w:rPr>
                <w:sz w:val="22"/>
                <w:szCs w:val="22"/>
              </w:rPr>
              <w:t>0</w:t>
            </w:r>
          </w:p>
        </w:tc>
        <w:tc>
          <w:tcPr>
            <w:tcW w:w="1016" w:type="dxa"/>
            <w:noWrap/>
            <w:vAlign w:val="center"/>
          </w:tcPr>
          <w:p w:rsidR="00B7354F" w:rsidRPr="00C364BC" w:rsidRDefault="00B7354F" w:rsidP="00E40494">
            <w:pPr>
              <w:bidi w:val="0"/>
              <w:jc w:val="center"/>
            </w:pPr>
            <w:r w:rsidRPr="00C364BC">
              <w:rPr>
                <w:sz w:val="22"/>
                <w:szCs w:val="22"/>
              </w:rPr>
              <w:t>0.0%</w:t>
            </w:r>
          </w:p>
        </w:tc>
        <w:tc>
          <w:tcPr>
            <w:tcW w:w="720" w:type="dxa"/>
            <w:noWrap/>
            <w:vAlign w:val="center"/>
          </w:tcPr>
          <w:p w:rsidR="00B7354F" w:rsidRPr="00C364BC" w:rsidRDefault="00B7354F" w:rsidP="00E40494">
            <w:pPr>
              <w:bidi w:val="0"/>
              <w:jc w:val="center"/>
            </w:pPr>
            <w:r w:rsidRPr="00C364BC">
              <w:rPr>
                <w:sz w:val="22"/>
                <w:szCs w:val="22"/>
              </w:rPr>
              <w:t>10</w:t>
            </w:r>
          </w:p>
        </w:tc>
        <w:tc>
          <w:tcPr>
            <w:tcW w:w="1226" w:type="dxa"/>
            <w:noWrap/>
            <w:vAlign w:val="center"/>
          </w:tcPr>
          <w:p w:rsidR="00B7354F" w:rsidRPr="00C364BC" w:rsidRDefault="00B7354F" w:rsidP="00E40494">
            <w:pPr>
              <w:bidi w:val="0"/>
              <w:jc w:val="center"/>
            </w:pPr>
            <w:r w:rsidRPr="00C364BC">
              <w:rPr>
                <w:sz w:val="22"/>
                <w:szCs w:val="22"/>
              </w:rPr>
              <w:t>33.3%</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vAlign w:val="center"/>
          </w:tcPr>
          <w:p w:rsidR="00B7354F" w:rsidRPr="00C364BC" w:rsidRDefault="00B7354F" w:rsidP="00E40494">
            <w:pPr>
              <w:bidi w:val="0"/>
              <w:jc w:val="center"/>
            </w:pPr>
          </w:p>
        </w:tc>
        <w:tc>
          <w:tcPr>
            <w:tcW w:w="1149" w:type="dxa"/>
            <w:vMerge w:val="restart"/>
            <w:noWrap/>
            <w:vAlign w:val="center"/>
          </w:tcPr>
          <w:p w:rsidR="00B7354F" w:rsidRPr="00C364BC" w:rsidRDefault="00B7354F" w:rsidP="00E40494">
            <w:pPr>
              <w:bidi w:val="0"/>
              <w:jc w:val="center"/>
            </w:pPr>
            <w:r w:rsidRPr="00C364BC">
              <w:rPr>
                <w:sz w:val="22"/>
                <w:szCs w:val="22"/>
              </w:rPr>
              <w:t>V at 40 dB</w:t>
            </w:r>
          </w:p>
        </w:tc>
        <w:tc>
          <w:tcPr>
            <w:tcW w:w="1362" w:type="dxa"/>
            <w:noWrap/>
            <w:vAlign w:val="center"/>
          </w:tcPr>
          <w:p w:rsidR="00B7354F" w:rsidRPr="00C364BC" w:rsidRDefault="00B7354F" w:rsidP="00E40494">
            <w:pPr>
              <w:bidi w:val="0"/>
              <w:jc w:val="center"/>
            </w:pPr>
            <w:r w:rsidRPr="00C364BC">
              <w:rPr>
                <w:sz w:val="22"/>
                <w:szCs w:val="22"/>
              </w:rPr>
              <w:t>Well defined</w:t>
            </w:r>
          </w:p>
        </w:tc>
        <w:tc>
          <w:tcPr>
            <w:tcW w:w="594" w:type="dxa"/>
            <w:noWrap/>
            <w:vAlign w:val="center"/>
          </w:tcPr>
          <w:p w:rsidR="00B7354F" w:rsidRPr="00C364BC" w:rsidRDefault="00B7354F" w:rsidP="00E40494">
            <w:pPr>
              <w:bidi w:val="0"/>
              <w:jc w:val="center"/>
            </w:pPr>
            <w:r w:rsidRPr="00C364BC">
              <w:rPr>
                <w:sz w:val="22"/>
                <w:szCs w:val="22"/>
              </w:rPr>
              <w:t>17</w:t>
            </w:r>
          </w:p>
        </w:tc>
        <w:tc>
          <w:tcPr>
            <w:tcW w:w="1016" w:type="dxa"/>
            <w:noWrap/>
            <w:vAlign w:val="center"/>
          </w:tcPr>
          <w:p w:rsidR="00B7354F" w:rsidRPr="00C364BC" w:rsidRDefault="00B7354F" w:rsidP="00E40494">
            <w:pPr>
              <w:bidi w:val="0"/>
              <w:jc w:val="center"/>
            </w:pPr>
            <w:r w:rsidRPr="00C364BC">
              <w:rPr>
                <w:sz w:val="22"/>
                <w:szCs w:val="22"/>
              </w:rPr>
              <w:t>85.0%</w:t>
            </w:r>
          </w:p>
        </w:tc>
        <w:tc>
          <w:tcPr>
            <w:tcW w:w="720" w:type="dxa"/>
            <w:noWrap/>
            <w:vAlign w:val="center"/>
          </w:tcPr>
          <w:p w:rsidR="00B7354F" w:rsidRPr="00C364BC" w:rsidRDefault="00B7354F" w:rsidP="00E40494">
            <w:pPr>
              <w:bidi w:val="0"/>
              <w:jc w:val="center"/>
            </w:pPr>
            <w:r w:rsidRPr="00C364BC">
              <w:rPr>
                <w:sz w:val="22"/>
                <w:szCs w:val="22"/>
              </w:rPr>
              <w:t>3</w:t>
            </w:r>
          </w:p>
        </w:tc>
        <w:tc>
          <w:tcPr>
            <w:tcW w:w="1226" w:type="dxa"/>
            <w:noWrap/>
            <w:vAlign w:val="center"/>
          </w:tcPr>
          <w:p w:rsidR="00B7354F" w:rsidRPr="00C364BC" w:rsidRDefault="00B7354F" w:rsidP="00E40494">
            <w:pPr>
              <w:bidi w:val="0"/>
              <w:jc w:val="center"/>
            </w:pPr>
            <w:r w:rsidRPr="00C364BC">
              <w:rPr>
                <w:sz w:val="22"/>
                <w:szCs w:val="22"/>
              </w:rPr>
              <w:t>10.0%</w:t>
            </w:r>
          </w:p>
        </w:tc>
        <w:tc>
          <w:tcPr>
            <w:tcW w:w="788" w:type="dxa"/>
            <w:vMerge w:val="restart"/>
            <w:noWrap/>
            <w:vAlign w:val="center"/>
          </w:tcPr>
          <w:p w:rsidR="00B7354F" w:rsidRPr="00C364BC" w:rsidRDefault="00B7354F" w:rsidP="00E40494">
            <w:pPr>
              <w:bidi w:val="0"/>
              <w:jc w:val="center"/>
            </w:pPr>
            <w:r w:rsidRPr="00C364BC">
              <w:rPr>
                <w:sz w:val="22"/>
                <w:szCs w:val="22"/>
              </w:rPr>
              <w:t>33.125</w:t>
            </w:r>
          </w:p>
        </w:tc>
        <w:tc>
          <w:tcPr>
            <w:tcW w:w="943" w:type="dxa"/>
            <w:vMerge w:val="restart"/>
            <w:noWrap/>
            <w:vAlign w:val="center"/>
          </w:tcPr>
          <w:p w:rsidR="00B7354F" w:rsidRPr="00C364BC" w:rsidRDefault="00B7354F" w:rsidP="00E40494">
            <w:pPr>
              <w:bidi w:val="0"/>
              <w:jc w:val="center"/>
            </w:pPr>
            <w:r w:rsidRPr="00C364BC">
              <w:rPr>
                <w:sz w:val="22"/>
                <w:szCs w:val="22"/>
              </w:rPr>
              <w:t>0.000</w:t>
            </w:r>
          </w:p>
        </w:tc>
      </w:tr>
      <w:tr w:rsidR="00B7354F" w:rsidRPr="00C364BC">
        <w:trPr>
          <w:trHeight w:val="246"/>
          <w:jc w:val="center"/>
        </w:trPr>
        <w:tc>
          <w:tcPr>
            <w:tcW w:w="732" w:type="dxa"/>
            <w:vMerge/>
            <w:vAlign w:val="center"/>
          </w:tcPr>
          <w:p w:rsidR="00B7354F" w:rsidRPr="00C364BC" w:rsidRDefault="00B7354F" w:rsidP="00E40494">
            <w:pPr>
              <w:bidi w:val="0"/>
              <w:jc w:val="center"/>
            </w:pPr>
          </w:p>
        </w:tc>
        <w:tc>
          <w:tcPr>
            <w:tcW w:w="1149" w:type="dxa"/>
            <w:vMerge/>
            <w:vAlign w:val="center"/>
          </w:tcPr>
          <w:p w:rsidR="00B7354F" w:rsidRPr="00C364BC" w:rsidRDefault="00B7354F" w:rsidP="00E40494">
            <w:pPr>
              <w:bidi w:val="0"/>
              <w:jc w:val="center"/>
            </w:pPr>
          </w:p>
        </w:tc>
        <w:tc>
          <w:tcPr>
            <w:tcW w:w="1362" w:type="dxa"/>
            <w:noWrap/>
            <w:vAlign w:val="center"/>
          </w:tcPr>
          <w:p w:rsidR="00B7354F" w:rsidRPr="00C364BC" w:rsidRDefault="00B7354F" w:rsidP="00E40494">
            <w:pPr>
              <w:bidi w:val="0"/>
              <w:jc w:val="center"/>
            </w:pPr>
            <w:r w:rsidRPr="00C364BC">
              <w:rPr>
                <w:sz w:val="22"/>
                <w:szCs w:val="22"/>
              </w:rPr>
              <w:t>Ill defined</w:t>
            </w:r>
          </w:p>
        </w:tc>
        <w:tc>
          <w:tcPr>
            <w:tcW w:w="594" w:type="dxa"/>
            <w:noWrap/>
            <w:vAlign w:val="center"/>
          </w:tcPr>
          <w:p w:rsidR="00B7354F" w:rsidRPr="00C364BC" w:rsidRDefault="00B7354F" w:rsidP="00E40494">
            <w:pPr>
              <w:bidi w:val="0"/>
              <w:jc w:val="center"/>
            </w:pPr>
            <w:r w:rsidRPr="00C364BC">
              <w:rPr>
                <w:sz w:val="22"/>
                <w:szCs w:val="22"/>
              </w:rPr>
              <w:t>3</w:t>
            </w:r>
          </w:p>
        </w:tc>
        <w:tc>
          <w:tcPr>
            <w:tcW w:w="1016" w:type="dxa"/>
            <w:noWrap/>
            <w:vAlign w:val="center"/>
          </w:tcPr>
          <w:p w:rsidR="00B7354F" w:rsidRPr="00C364BC" w:rsidRDefault="00B7354F" w:rsidP="00E40494">
            <w:pPr>
              <w:bidi w:val="0"/>
              <w:jc w:val="center"/>
            </w:pPr>
            <w:r w:rsidRPr="00C364BC">
              <w:rPr>
                <w:sz w:val="22"/>
                <w:szCs w:val="22"/>
              </w:rPr>
              <w:t>15.0%</w:t>
            </w:r>
          </w:p>
        </w:tc>
        <w:tc>
          <w:tcPr>
            <w:tcW w:w="720" w:type="dxa"/>
            <w:noWrap/>
            <w:vAlign w:val="center"/>
          </w:tcPr>
          <w:p w:rsidR="00B7354F" w:rsidRPr="00C364BC" w:rsidRDefault="00B7354F" w:rsidP="00E40494">
            <w:pPr>
              <w:bidi w:val="0"/>
              <w:jc w:val="center"/>
            </w:pPr>
            <w:r w:rsidRPr="00C364BC">
              <w:rPr>
                <w:sz w:val="22"/>
                <w:szCs w:val="22"/>
              </w:rPr>
              <w:t>3</w:t>
            </w:r>
          </w:p>
        </w:tc>
        <w:tc>
          <w:tcPr>
            <w:tcW w:w="1226" w:type="dxa"/>
            <w:noWrap/>
            <w:vAlign w:val="center"/>
          </w:tcPr>
          <w:p w:rsidR="00B7354F" w:rsidRPr="00C364BC" w:rsidRDefault="00B7354F" w:rsidP="00E40494">
            <w:pPr>
              <w:bidi w:val="0"/>
              <w:jc w:val="center"/>
            </w:pPr>
            <w:r w:rsidRPr="00C364BC">
              <w:rPr>
                <w:sz w:val="22"/>
                <w:szCs w:val="22"/>
              </w:rPr>
              <w:t>10.0%</w:t>
            </w:r>
          </w:p>
        </w:tc>
        <w:tc>
          <w:tcPr>
            <w:tcW w:w="788" w:type="dxa"/>
            <w:vMerge/>
            <w:vAlign w:val="center"/>
          </w:tcPr>
          <w:p w:rsidR="00B7354F" w:rsidRPr="00C364BC" w:rsidRDefault="00B7354F" w:rsidP="00E40494">
            <w:pPr>
              <w:bidi w:val="0"/>
              <w:jc w:val="center"/>
            </w:pPr>
          </w:p>
        </w:tc>
        <w:tc>
          <w:tcPr>
            <w:tcW w:w="943" w:type="dxa"/>
            <w:vMerge/>
            <w:vAlign w:val="center"/>
          </w:tcPr>
          <w:p w:rsidR="00B7354F" w:rsidRPr="00C364BC" w:rsidRDefault="00B7354F" w:rsidP="00E40494">
            <w:pPr>
              <w:bidi w:val="0"/>
              <w:jc w:val="center"/>
            </w:pPr>
          </w:p>
        </w:tc>
      </w:tr>
      <w:tr w:rsidR="00B7354F" w:rsidRPr="00C364BC">
        <w:trPr>
          <w:trHeight w:val="402"/>
          <w:jc w:val="center"/>
        </w:trPr>
        <w:tc>
          <w:tcPr>
            <w:tcW w:w="732" w:type="dxa"/>
            <w:vMerge/>
            <w:tcBorders>
              <w:bottom w:val="single" w:sz="18" w:space="0" w:color="000000"/>
            </w:tcBorders>
            <w:vAlign w:val="center"/>
          </w:tcPr>
          <w:p w:rsidR="00B7354F" w:rsidRPr="00C364BC" w:rsidRDefault="00B7354F" w:rsidP="00E40494">
            <w:pPr>
              <w:bidi w:val="0"/>
              <w:jc w:val="center"/>
            </w:pPr>
          </w:p>
        </w:tc>
        <w:tc>
          <w:tcPr>
            <w:tcW w:w="1149" w:type="dxa"/>
            <w:vMerge/>
            <w:tcBorders>
              <w:bottom w:val="single" w:sz="18" w:space="0" w:color="000000"/>
            </w:tcBorders>
            <w:vAlign w:val="center"/>
          </w:tcPr>
          <w:p w:rsidR="00B7354F" w:rsidRPr="00C364BC" w:rsidRDefault="00B7354F" w:rsidP="00E40494">
            <w:pPr>
              <w:bidi w:val="0"/>
              <w:jc w:val="center"/>
            </w:pPr>
          </w:p>
        </w:tc>
        <w:tc>
          <w:tcPr>
            <w:tcW w:w="1362" w:type="dxa"/>
            <w:tcBorders>
              <w:bottom w:val="single" w:sz="18" w:space="0" w:color="000000"/>
            </w:tcBorders>
            <w:noWrap/>
            <w:vAlign w:val="center"/>
          </w:tcPr>
          <w:p w:rsidR="00B7354F" w:rsidRPr="00C364BC" w:rsidRDefault="00B7354F" w:rsidP="00E40494">
            <w:pPr>
              <w:bidi w:val="0"/>
              <w:jc w:val="center"/>
            </w:pPr>
            <w:r w:rsidRPr="00C364BC">
              <w:rPr>
                <w:sz w:val="22"/>
                <w:szCs w:val="22"/>
              </w:rPr>
              <w:t>Absent wave</w:t>
            </w:r>
          </w:p>
        </w:tc>
        <w:tc>
          <w:tcPr>
            <w:tcW w:w="594" w:type="dxa"/>
            <w:tcBorders>
              <w:bottom w:val="single" w:sz="18" w:space="0" w:color="000000"/>
            </w:tcBorders>
            <w:noWrap/>
            <w:vAlign w:val="center"/>
          </w:tcPr>
          <w:p w:rsidR="00B7354F" w:rsidRPr="00C364BC" w:rsidRDefault="00B7354F" w:rsidP="00E40494">
            <w:pPr>
              <w:bidi w:val="0"/>
              <w:jc w:val="center"/>
            </w:pPr>
            <w:r w:rsidRPr="00C364BC">
              <w:rPr>
                <w:sz w:val="22"/>
                <w:szCs w:val="22"/>
              </w:rPr>
              <w:t>0</w:t>
            </w:r>
          </w:p>
        </w:tc>
        <w:tc>
          <w:tcPr>
            <w:tcW w:w="1016" w:type="dxa"/>
            <w:tcBorders>
              <w:bottom w:val="single" w:sz="18" w:space="0" w:color="000000"/>
            </w:tcBorders>
            <w:noWrap/>
            <w:vAlign w:val="center"/>
          </w:tcPr>
          <w:p w:rsidR="00B7354F" w:rsidRPr="00C364BC" w:rsidRDefault="00B7354F" w:rsidP="00E40494">
            <w:pPr>
              <w:bidi w:val="0"/>
              <w:jc w:val="center"/>
            </w:pPr>
            <w:r w:rsidRPr="00C364BC">
              <w:rPr>
                <w:sz w:val="22"/>
                <w:szCs w:val="22"/>
              </w:rPr>
              <w:t>0.0%</w:t>
            </w:r>
          </w:p>
        </w:tc>
        <w:tc>
          <w:tcPr>
            <w:tcW w:w="720" w:type="dxa"/>
            <w:tcBorders>
              <w:bottom w:val="single" w:sz="18" w:space="0" w:color="000000"/>
            </w:tcBorders>
            <w:noWrap/>
            <w:vAlign w:val="center"/>
          </w:tcPr>
          <w:p w:rsidR="00B7354F" w:rsidRPr="00C364BC" w:rsidRDefault="00B7354F" w:rsidP="00E40494">
            <w:pPr>
              <w:bidi w:val="0"/>
              <w:jc w:val="center"/>
            </w:pPr>
            <w:r w:rsidRPr="00C364BC">
              <w:rPr>
                <w:sz w:val="22"/>
                <w:szCs w:val="22"/>
              </w:rPr>
              <w:t>24</w:t>
            </w:r>
          </w:p>
        </w:tc>
        <w:tc>
          <w:tcPr>
            <w:tcW w:w="1226" w:type="dxa"/>
            <w:tcBorders>
              <w:bottom w:val="single" w:sz="18" w:space="0" w:color="000000"/>
            </w:tcBorders>
            <w:noWrap/>
            <w:vAlign w:val="center"/>
          </w:tcPr>
          <w:p w:rsidR="00B7354F" w:rsidRPr="00C364BC" w:rsidRDefault="00B7354F" w:rsidP="00E40494">
            <w:pPr>
              <w:bidi w:val="0"/>
              <w:jc w:val="center"/>
            </w:pPr>
            <w:r w:rsidRPr="00C364BC">
              <w:rPr>
                <w:sz w:val="22"/>
                <w:szCs w:val="22"/>
              </w:rPr>
              <w:t>80.0%</w:t>
            </w:r>
          </w:p>
        </w:tc>
        <w:tc>
          <w:tcPr>
            <w:tcW w:w="788" w:type="dxa"/>
            <w:vMerge/>
            <w:tcBorders>
              <w:bottom w:val="single" w:sz="18" w:space="0" w:color="000000"/>
            </w:tcBorders>
            <w:vAlign w:val="center"/>
          </w:tcPr>
          <w:p w:rsidR="00B7354F" w:rsidRPr="00C364BC" w:rsidRDefault="00B7354F" w:rsidP="00E40494">
            <w:pPr>
              <w:bidi w:val="0"/>
              <w:jc w:val="center"/>
            </w:pPr>
          </w:p>
        </w:tc>
        <w:tc>
          <w:tcPr>
            <w:tcW w:w="943" w:type="dxa"/>
            <w:vMerge/>
            <w:tcBorders>
              <w:bottom w:val="single" w:sz="18" w:space="0" w:color="000000"/>
            </w:tcBorders>
            <w:vAlign w:val="center"/>
          </w:tcPr>
          <w:p w:rsidR="00B7354F" w:rsidRPr="00C364BC" w:rsidRDefault="00B7354F" w:rsidP="00E40494">
            <w:pPr>
              <w:bidi w:val="0"/>
              <w:jc w:val="center"/>
            </w:pPr>
          </w:p>
        </w:tc>
      </w:tr>
    </w:tbl>
    <w:p w:rsidR="00B7354F" w:rsidRDefault="00B7354F" w:rsidP="00CA0D5E">
      <w:pPr>
        <w:bidi w:val="0"/>
        <w:jc w:val="both"/>
        <w:rPr>
          <w:sz w:val="22"/>
          <w:szCs w:val="22"/>
        </w:rPr>
      </w:pPr>
    </w:p>
    <w:p w:rsidR="00B7354F" w:rsidRPr="00C364BC" w:rsidRDefault="00B7354F" w:rsidP="00CA0D5E">
      <w:pPr>
        <w:bidi w:val="0"/>
        <w:jc w:val="both"/>
        <w:rPr>
          <w:sz w:val="28"/>
          <w:szCs w:val="28"/>
        </w:rPr>
      </w:pPr>
      <w:r w:rsidRPr="00C364BC">
        <w:rPr>
          <w:sz w:val="28"/>
          <w:szCs w:val="28"/>
        </w:rPr>
        <w:t>There is a highly statistically significant difference between jaundiced group and control group in all categories of wave morphology in right &amp; left ear before treatment.</w:t>
      </w:r>
    </w:p>
    <w:p w:rsidR="00B7354F" w:rsidRDefault="00B7354F" w:rsidP="00CA0D5E">
      <w:pPr>
        <w:tabs>
          <w:tab w:val="right" w:pos="0"/>
        </w:tabs>
        <w:bidi w:val="0"/>
        <w:jc w:val="both"/>
        <w:rPr>
          <w:b/>
          <w:bCs/>
          <w:sz w:val="28"/>
          <w:szCs w:val="28"/>
        </w:rPr>
      </w:pPr>
    </w:p>
    <w:p w:rsidR="00B7354F" w:rsidRPr="00C97F55" w:rsidRDefault="00B7354F" w:rsidP="00CA0D5E">
      <w:pPr>
        <w:tabs>
          <w:tab w:val="right" w:pos="0"/>
        </w:tabs>
        <w:bidi w:val="0"/>
        <w:ind w:left="-567"/>
        <w:jc w:val="both"/>
        <w:rPr>
          <w:sz w:val="28"/>
          <w:szCs w:val="28"/>
        </w:rPr>
      </w:pPr>
      <w:r w:rsidRPr="00C97F55">
        <w:rPr>
          <w:b/>
          <w:bCs/>
          <w:sz w:val="28"/>
          <w:szCs w:val="28"/>
        </w:rPr>
        <w:t>Table (3)</w:t>
      </w:r>
      <w:r w:rsidRPr="00C97F55">
        <w:rPr>
          <w:sz w:val="28"/>
          <w:szCs w:val="28"/>
        </w:rPr>
        <w:t xml:space="preserve"> Comparison between jaundiced group and control group regarding hearing threshold before treatment</w:t>
      </w:r>
    </w:p>
    <w:p w:rsidR="00B7354F" w:rsidRPr="00C97F55" w:rsidRDefault="00B7354F" w:rsidP="00CA0D5E">
      <w:pPr>
        <w:bidi w:val="0"/>
        <w:jc w:val="both"/>
        <w:rPr>
          <w:b/>
          <w:bCs/>
          <w:sz w:val="28"/>
          <w:szCs w:val="28"/>
        </w:rPr>
      </w:pPr>
    </w:p>
    <w:tbl>
      <w:tblPr>
        <w:tblW w:w="5265" w:type="pct"/>
        <w:tblInd w:w="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0" w:type="dxa"/>
          <w:right w:w="0" w:type="dxa"/>
        </w:tblCellMar>
        <w:tblLook w:val="0000"/>
      </w:tblPr>
      <w:tblGrid>
        <w:gridCol w:w="501"/>
        <w:gridCol w:w="790"/>
        <w:gridCol w:w="2335"/>
        <w:gridCol w:w="725"/>
        <w:gridCol w:w="1024"/>
        <w:gridCol w:w="784"/>
        <w:gridCol w:w="986"/>
        <w:gridCol w:w="854"/>
        <w:gridCol w:w="1004"/>
      </w:tblGrid>
      <w:tr w:rsidR="00B7354F" w:rsidRPr="00C97F55">
        <w:trPr>
          <w:trHeight w:val="294"/>
        </w:trPr>
        <w:tc>
          <w:tcPr>
            <w:tcW w:w="2100" w:type="pct"/>
            <w:gridSpan w:val="3"/>
            <w:vMerge w:val="restart"/>
            <w:tcBorders>
              <w:top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Hearing threshold</w:t>
            </w:r>
          </w:p>
        </w:tc>
        <w:tc>
          <w:tcPr>
            <w:tcW w:w="947" w:type="pct"/>
            <w:gridSpan w:val="2"/>
            <w:tcBorders>
              <w:top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Control group</w:t>
            </w:r>
          </w:p>
        </w:tc>
        <w:tc>
          <w:tcPr>
            <w:tcW w:w="953" w:type="pct"/>
            <w:gridSpan w:val="2"/>
            <w:tcBorders>
              <w:top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Patients group</w:t>
            </w:r>
          </w:p>
        </w:tc>
        <w:tc>
          <w:tcPr>
            <w:tcW w:w="1001" w:type="pct"/>
            <w:gridSpan w:val="2"/>
            <w:tcBorders>
              <w:top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Chi-square test</w:t>
            </w:r>
          </w:p>
        </w:tc>
      </w:tr>
      <w:tr w:rsidR="00B7354F" w:rsidRPr="00C97F55">
        <w:trPr>
          <w:trHeight w:val="262"/>
        </w:trPr>
        <w:tc>
          <w:tcPr>
            <w:tcW w:w="2100" w:type="pct"/>
            <w:gridSpan w:val="3"/>
            <w:vMerge/>
            <w:vAlign w:val="center"/>
          </w:tcPr>
          <w:p w:rsidR="00B7354F" w:rsidRPr="00C97F55" w:rsidRDefault="00B7354F" w:rsidP="001D45DD">
            <w:pPr>
              <w:bidi w:val="0"/>
              <w:spacing w:before="60" w:after="60"/>
              <w:jc w:val="center"/>
              <w:rPr>
                <w:b/>
                <w:bCs/>
                <w:sz w:val="28"/>
                <w:szCs w:val="28"/>
              </w:rPr>
            </w:pPr>
          </w:p>
        </w:tc>
        <w:tc>
          <w:tcPr>
            <w:tcW w:w="395" w:type="pct"/>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No.</w:t>
            </w:r>
          </w:p>
        </w:tc>
        <w:tc>
          <w:tcPr>
            <w:tcW w:w="551" w:type="pct"/>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w:t>
            </w:r>
          </w:p>
        </w:tc>
        <w:tc>
          <w:tcPr>
            <w:tcW w:w="422" w:type="pct"/>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No.</w:t>
            </w:r>
          </w:p>
        </w:tc>
        <w:tc>
          <w:tcPr>
            <w:tcW w:w="531" w:type="pct"/>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w:t>
            </w:r>
          </w:p>
        </w:tc>
        <w:tc>
          <w:tcPr>
            <w:tcW w:w="460" w:type="pct"/>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X</w:t>
            </w:r>
            <w:r w:rsidRPr="00C97F55">
              <w:rPr>
                <w:b/>
                <w:bCs/>
                <w:sz w:val="28"/>
                <w:szCs w:val="28"/>
                <w:vertAlign w:val="superscript"/>
              </w:rPr>
              <w:t>2</w:t>
            </w:r>
          </w:p>
        </w:tc>
        <w:tc>
          <w:tcPr>
            <w:tcW w:w="541" w:type="pct"/>
            <w:noWrap/>
            <w:tcMar>
              <w:top w:w="10" w:type="dxa"/>
              <w:left w:w="10" w:type="dxa"/>
              <w:bottom w:w="0" w:type="dxa"/>
              <w:right w:w="10" w:type="dxa"/>
            </w:tcMar>
            <w:vAlign w:val="center"/>
          </w:tcPr>
          <w:p w:rsidR="00B7354F" w:rsidRPr="00C97F55" w:rsidRDefault="00B7354F" w:rsidP="001D45DD">
            <w:pPr>
              <w:bidi w:val="0"/>
              <w:spacing w:before="60" w:after="60"/>
              <w:jc w:val="center"/>
              <w:rPr>
                <w:b/>
                <w:bCs/>
                <w:sz w:val="28"/>
                <w:szCs w:val="28"/>
              </w:rPr>
            </w:pPr>
            <w:r w:rsidRPr="00C97F55">
              <w:rPr>
                <w:b/>
                <w:bCs/>
                <w:sz w:val="28"/>
                <w:szCs w:val="28"/>
              </w:rPr>
              <w:t>P-value</w:t>
            </w:r>
          </w:p>
        </w:tc>
      </w:tr>
      <w:tr w:rsidR="00B7354F" w:rsidRPr="00C97F55">
        <w:trPr>
          <w:trHeight w:val="491"/>
        </w:trPr>
        <w:tc>
          <w:tcPr>
            <w:tcW w:w="262" w:type="pct"/>
            <w:vMerge w:val="restart"/>
            <w:noWrap/>
            <w:tcMar>
              <w:top w:w="10" w:type="dxa"/>
              <w:left w:w="10" w:type="dxa"/>
              <w:bottom w:w="0" w:type="dxa"/>
              <w:right w:w="10" w:type="dxa"/>
            </w:tcMar>
            <w:textDirection w:val="btLr"/>
            <w:vAlign w:val="center"/>
          </w:tcPr>
          <w:p w:rsidR="00B7354F" w:rsidRPr="00C97F55" w:rsidRDefault="00B7354F" w:rsidP="001D45DD">
            <w:pPr>
              <w:bidi w:val="0"/>
              <w:spacing w:before="60" w:after="60"/>
              <w:ind w:left="113" w:right="113"/>
              <w:jc w:val="center"/>
              <w:rPr>
                <w:b/>
                <w:bCs/>
                <w:sz w:val="28"/>
                <w:szCs w:val="28"/>
              </w:rPr>
            </w:pPr>
            <w:r w:rsidRPr="00C97F55">
              <w:rPr>
                <w:b/>
                <w:bCs/>
                <w:sz w:val="28"/>
                <w:szCs w:val="28"/>
              </w:rPr>
              <w:t>Before ttt</w:t>
            </w:r>
          </w:p>
        </w:tc>
        <w:tc>
          <w:tcPr>
            <w:tcW w:w="425" w:type="pct"/>
            <w:vMerge w:val="restar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RT.ear</w:t>
            </w:r>
          </w:p>
        </w:tc>
        <w:tc>
          <w:tcPr>
            <w:tcW w:w="1412"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Normal hearing</w:t>
            </w:r>
          </w:p>
        </w:tc>
        <w:tc>
          <w:tcPr>
            <w:tcW w:w="395"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20</w:t>
            </w:r>
          </w:p>
        </w:tc>
        <w:tc>
          <w:tcPr>
            <w:tcW w:w="55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100.00%</w:t>
            </w:r>
          </w:p>
        </w:tc>
        <w:tc>
          <w:tcPr>
            <w:tcW w:w="422"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5</w:t>
            </w:r>
          </w:p>
        </w:tc>
        <w:tc>
          <w:tcPr>
            <w:tcW w:w="53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16.70%</w:t>
            </w:r>
          </w:p>
        </w:tc>
        <w:tc>
          <w:tcPr>
            <w:tcW w:w="460" w:type="pct"/>
            <w:vMerge w:val="restar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33.333</w:t>
            </w:r>
          </w:p>
        </w:tc>
        <w:tc>
          <w:tcPr>
            <w:tcW w:w="541" w:type="pct"/>
            <w:vMerge w:val="restar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0.000</w:t>
            </w:r>
          </w:p>
        </w:tc>
      </w:tr>
      <w:tr w:rsidR="00B7354F" w:rsidRPr="00C97F55">
        <w:trPr>
          <w:trHeight w:val="550"/>
        </w:trPr>
        <w:tc>
          <w:tcPr>
            <w:tcW w:w="262" w:type="pct"/>
            <w:vMerge/>
            <w:textDirection w:val="btLr"/>
            <w:vAlign w:val="center"/>
          </w:tcPr>
          <w:p w:rsidR="00B7354F" w:rsidRPr="00C97F55" w:rsidRDefault="00B7354F" w:rsidP="001D45DD">
            <w:pPr>
              <w:bidi w:val="0"/>
              <w:spacing w:before="60" w:after="60"/>
              <w:ind w:left="113" w:right="113"/>
              <w:jc w:val="center"/>
              <w:rPr>
                <w:b/>
                <w:bCs/>
                <w:sz w:val="28"/>
                <w:szCs w:val="28"/>
              </w:rPr>
            </w:pPr>
          </w:p>
        </w:tc>
        <w:tc>
          <w:tcPr>
            <w:tcW w:w="425" w:type="pct"/>
            <w:vMerge/>
            <w:vAlign w:val="center"/>
          </w:tcPr>
          <w:p w:rsidR="00B7354F" w:rsidRPr="00C97F55" w:rsidRDefault="00B7354F" w:rsidP="001D45DD">
            <w:pPr>
              <w:bidi w:val="0"/>
              <w:spacing w:before="60" w:after="60"/>
              <w:jc w:val="center"/>
              <w:rPr>
                <w:sz w:val="28"/>
                <w:szCs w:val="28"/>
              </w:rPr>
            </w:pPr>
          </w:p>
        </w:tc>
        <w:tc>
          <w:tcPr>
            <w:tcW w:w="1412" w:type="pct"/>
            <w:noWrap/>
            <w:tcMar>
              <w:top w:w="10" w:type="dxa"/>
              <w:left w:w="10" w:type="dxa"/>
              <w:bottom w:w="0" w:type="dxa"/>
              <w:right w:w="10" w:type="dxa"/>
            </w:tcMar>
            <w:vAlign w:val="center"/>
          </w:tcPr>
          <w:p w:rsidR="00B7354F" w:rsidRDefault="00B7354F" w:rsidP="001D45DD">
            <w:pPr>
              <w:bidi w:val="0"/>
              <w:spacing w:before="60" w:after="60"/>
              <w:jc w:val="center"/>
              <w:rPr>
                <w:sz w:val="28"/>
                <w:szCs w:val="28"/>
              </w:rPr>
            </w:pPr>
            <w:r w:rsidRPr="00C97F55">
              <w:rPr>
                <w:sz w:val="28"/>
                <w:szCs w:val="28"/>
              </w:rPr>
              <w:t>Mild to moderate</w:t>
            </w:r>
          </w:p>
          <w:p w:rsidR="00B7354F" w:rsidRPr="00C97F55" w:rsidRDefault="00B7354F" w:rsidP="001D45DD">
            <w:pPr>
              <w:bidi w:val="0"/>
              <w:spacing w:before="60" w:after="60"/>
              <w:jc w:val="center"/>
              <w:rPr>
                <w:sz w:val="28"/>
                <w:szCs w:val="28"/>
              </w:rPr>
            </w:pPr>
            <w:r w:rsidRPr="00C97F55">
              <w:rPr>
                <w:sz w:val="28"/>
                <w:szCs w:val="28"/>
              </w:rPr>
              <w:t>hearing loss</w:t>
            </w:r>
          </w:p>
        </w:tc>
        <w:tc>
          <w:tcPr>
            <w:tcW w:w="395"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w:t>
            </w:r>
          </w:p>
        </w:tc>
        <w:tc>
          <w:tcPr>
            <w:tcW w:w="55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0.00%</w:t>
            </w:r>
          </w:p>
        </w:tc>
        <w:tc>
          <w:tcPr>
            <w:tcW w:w="422"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19</w:t>
            </w:r>
          </w:p>
        </w:tc>
        <w:tc>
          <w:tcPr>
            <w:tcW w:w="53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63.30%</w:t>
            </w:r>
          </w:p>
        </w:tc>
        <w:tc>
          <w:tcPr>
            <w:tcW w:w="460" w:type="pct"/>
            <w:vMerge/>
            <w:vAlign w:val="center"/>
          </w:tcPr>
          <w:p w:rsidR="00B7354F" w:rsidRPr="00C97F55" w:rsidRDefault="00B7354F" w:rsidP="001D45DD">
            <w:pPr>
              <w:bidi w:val="0"/>
              <w:spacing w:before="60" w:after="60"/>
              <w:jc w:val="center"/>
              <w:rPr>
                <w:sz w:val="28"/>
                <w:szCs w:val="28"/>
              </w:rPr>
            </w:pPr>
          </w:p>
        </w:tc>
        <w:tc>
          <w:tcPr>
            <w:tcW w:w="541" w:type="pct"/>
            <w:vMerge/>
            <w:vAlign w:val="center"/>
          </w:tcPr>
          <w:p w:rsidR="00B7354F" w:rsidRPr="00C97F55" w:rsidRDefault="00B7354F" w:rsidP="001D45DD">
            <w:pPr>
              <w:bidi w:val="0"/>
              <w:spacing w:before="60" w:after="60"/>
              <w:jc w:val="center"/>
              <w:rPr>
                <w:sz w:val="28"/>
                <w:szCs w:val="28"/>
              </w:rPr>
            </w:pPr>
          </w:p>
        </w:tc>
      </w:tr>
      <w:tr w:rsidR="00B7354F" w:rsidRPr="00C97F55">
        <w:trPr>
          <w:trHeight w:val="550"/>
        </w:trPr>
        <w:tc>
          <w:tcPr>
            <w:tcW w:w="262" w:type="pct"/>
            <w:vMerge/>
            <w:textDirection w:val="btLr"/>
            <w:vAlign w:val="center"/>
          </w:tcPr>
          <w:p w:rsidR="00B7354F" w:rsidRPr="00C97F55" w:rsidRDefault="00B7354F" w:rsidP="001D45DD">
            <w:pPr>
              <w:bidi w:val="0"/>
              <w:spacing w:before="60" w:after="60"/>
              <w:ind w:left="113" w:right="113"/>
              <w:jc w:val="center"/>
              <w:rPr>
                <w:b/>
                <w:bCs/>
                <w:sz w:val="28"/>
                <w:szCs w:val="28"/>
              </w:rPr>
            </w:pPr>
          </w:p>
        </w:tc>
        <w:tc>
          <w:tcPr>
            <w:tcW w:w="425" w:type="pct"/>
            <w:vMerge/>
            <w:vAlign w:val="center"/>
          </w:tcPr>
          <w:p w:rsidR="00B7354F" w:rsidRPr="00C97F55" w:rsidRDefault="00B7354F" w:rsidP="001D45DD">
            <w:pPr>
              <w:bidi w:val="0"/>
              <w:spacing w:before="60" w:after="60"/>
              <w:jc w:val="center"/>
              <w:rPr>
                <w:sz w:val="28"/>
                <w:szCs w:val="28"/>
              </w:rPr>
            </w:pPr>
          </w:p>
        </w:tc>
        <w:tc>
          <w:tcPr>
            <w:tcW w:w="1412" w:type="pct"/>
            <w:noWrap/>
            <w:tcMar>
              <w:top w:w="10" w:type="dxa"/>
              <w:left w:w="10" w:type="dxa"/>
              <w:bottom w:w="0" w:type="dxa"/>
              <w:right w:w="10" w:type="dxa"/>
            </w:tcMar>
            <w:vAlign w:val="center"/>
          </w:tcPr>
          <w:p w:rsidR="00B7354F" w:rsidRDefault="00B7354F" w:rsidP="001D45DD">
            <w:pPr>
              <w:bidi w:val="0"/>
              <w:spacing w:before="60" w:after="60"/>
              <w:jc w:val="center"/>
              <w:rPr>
                <w:sz w:val="28"/>
                <w:szCs w:val="28"/>
              </w:rPr>
            </w:pPr>
            <w:r w:rsidRPr="00C97F55">
              <w:rPr>
                <w:sz w:val="28"/>
                <w:szCs w:val="28"/>
              </w:rPr>
              <w:t>Severe to profound</w:t>
            </w:r>
          </w:p>
          <w:p w:rsidR="00B7354F" w:rsidRPr="00C97F55" w:rsidRDefault="00B7354F" w:rsidP="001D45DD">
            <w:pPr>
              <w:bidi w:val="0"/>
              <w:spacing w:before="60" w:after="60"/>
              <w:jc w:val="center"/>
              <w:rPr>
                <w:sz w:val="28"/>
                <w:szCs w:val="28"/>
              </w:rPr>
            </w:pPr>
            <w:r w:rsidRPr="00C97F55">
              <w:rPr>
                <w:sz w:val="28"/>
                <w:szCs w:val="28"/>
              </w:rPr>
              <w:t>hearing loss</w:t>
            </w:r>
          </w:p>
        </w:tc>
        <w:tc>
          <w:tcPr>
            <w:tcW w:w="395"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w:t>
            </w:r>
          </w:p>
        </w:tc>
        <w:tc>
          <w:tcPr>
            <w:tcW w:w="55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0.00%</w:t>
            </w:r>
          </w:p>
        </w:tc>
        <w:tc>
          <w:tcPr>
            <w:tcW w:w="422"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6</w:t>
            </w:r>
          </w:p>
        </w:tc>
        <w:tc>
          <w:tcPr>
            <w:tcW w:w="53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20.00%</w:t>
            </w:r>
          </w:p>
        </w:tc>
        <w:tc>
          <w:tcPr>
            <w:tcW w:w="460" w:type="pct"/>
            <w:vMerge/>
            <w:vAlign w:val="center"/>
          </w:tcPr>
          <w:p w:rsidR="00B7354F" w:rsidRPr="00C97F55" w:rsidRDefault="00B7354F" w:rsidP="001D45DD">
            <w:pPr>
              <w:bidi w:val="0"/>
              <w:spacing w:before="60" w:after="60"/>
              <w:jc w:val="center"/>
              <w:rPr>
                <w:sz w:val="28"/>
                <w:szCs w:val="28"/>
              </w:rPr>
            </w:pPr>
          </w:p>
        </w:tc>
        <w:tc>
          <w:tcPr>
            <w:tcW w:w="541" w:type="pct"/>
            <w:vMerge/>
            <w:vAlign w:val="center"/>
          </w:tcPr>
          <w:p w:rsidR="00B7354F" w:rsidRPr="00C97F55" w:rsidRDefault="00B7354F" w:rsidP="001D45DD">
            <w:pPr>
              <w:bidi w:val="0"/>
              <w:spacing w:before="60" w:after="60"/>
              <w:jc w:val="center"/>
              <w:rPr>
                <w:sz w:val="28"/>
                <w:szCs w:val="28"/>
              </w:rPr>
            </w:pPr>
          </w:p>
        </w:tc>
      </w:tr>
      <w:tr w:rsidR="00B7354F" w:rsidRPr="00C97F55">
        <w:trPr>
          <w:trHeight w:val="580"/>
        </w:trPr>
        <w:tc>
          <w:tcPr>
            <w:tcW w:w="262" w:type="pct"/>
            <w:vMerge/>
            <w:textDirection w:val="btLr"/>
            <w:vAlign w:val="center"/>
          </w:tcPr>
          <w:p w:rsidR="00B7354F" w:rsidRPr="00C97F55" w:rsidRDefault="00B7354F" w:rsidP="001D45DD">
            <w:pPr>
              <w:bidi w:val="0"/>
              <w:spacing w:before="60" w:after="60"/>
              <w:ind w:left="113" w:right="113"/>
              <w:jc w:val="center"/>
              <w:rPr>
                <w:b/>
                <w:bCs/>
                <w:sz w:val="28"/>
                <w:szCs w:val="28"/>
              </w:rPr>
            </w:pPr>
          </w:p>
        </w:tc>
        <w:tc>
          <w:tcPr>
            <w:tcW w:w="425" w:type="pct"/>
            <w:vMerge w:val="restar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LT.ear</w:t>
            </w:r>
          </w:p>
        </w:tc>
        <w:tc>
          <w:tcPr>
            <w:tcW w:w="1412"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Normal hearing</w:t>
            </w:r>
          </w:p>
        </w:tc>
        <w:tc>
          <w:tcPr>
            <w:tcW w:w="395"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20</w:t>
            </w:r>
          </w:p>
        </w:tc>
        <w:tc>
          <w:tcPr>
            <w:tcW w:w="55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100.00%</w:t>
            </w:r>
          </w:p>
        </w:tc>
        <w:tc>
          <w:tcPr>
            <w:tcW w:w="422"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6</w:t>
            </w:r>
          </w:p>
        </w:tc>
        <w:tc>
          <w:tcPr>
            <w:tcW w:w="53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20.00%</w:t>
            </w:r>
          </w:p>
        </w:tc>
        <w:tc>
          <w:tcPr>
            <w:tcW w:w="460" w:type="pct"/>
            <w:vMerge w:val="restar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30.769</w:t>
            </w:r>
          </w:p>
        </w:tc>
        <w:tc>
          <w:tcPr>
            <w:tcW w:w="541" w:type="pct"/>
            <w:vMerge w:val="restar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0.000</w:t>
            </w:r>
          </w:p>
        </w:tc>
      </w:tr>
      <w:tr w:rsidR="00B7354F" w:rsidRPr="00C97F55">
        <w:trPr>
          <w:trHeight w:val="550"/>
        </w:trPr>
        <w:tc>
          <w:tcPr>
            <w:tcW w:w="262" w:type="pct"/>
            <w:vMerge/>
            <w:textDirection w:val="btLr"/>
            <w:vAlign w:val="center"/>
          </w:tcPr>
          <w:p w:rsidR="00B7354F" w:rsidRPr="00C97F55" w:rsidRDefault="00B7354F" w:rsidP="001D45DD">
            <w:pPr>
              <w:bidi w:val="0"/>
              <w:spacing w:before="60" w:after="60"/>
              <w:ind w:left="113" w:right="113"/>
              <w:jc w:val="center"/>
              <w:rPr>
                <w:b/>
                <w:bCs/>
                <w:sz w:val="28"/>
                <w:szCs w:val="28"/>
              </w:rPr>
            </w:pPr>
          </w:p>
        </w:tc>
        <w:tc>
          <w:tcPr>
            <w:tcW w:w="425" w:type="pct"/>
            <w:vMerge/>
            <w:vAlign w:val="center"/>
          </w:tcPr>
          <w:p w:rsidR="00B7354F" w:rsidRPr="00C97F55" w:rsidRDefault="00B7354F" w:rsidP="001D45DD">
            <w:pPr>
              <w:bidi w:val="0"/>
              <w:spacing w:before="60" w:after="60"/>
              <w:jc w:val="center"/>
              <w:rPr>
                <w:sz w:val="28"/>
                <w:szCs w:val="28"/>
              </w:rPr>
            </w:pPr>
          </w:p>
        </w:tc>
        <w:tc>
          <w:tcPr>
            <w:tcW w:w="1412" w:type="pct"/>
            <w:noWrap/>
            <w:tcMar>
              <w:top w:w="10" w:type="dxa"/>
              <w:left w:w="10" w:type="dxa"/>
              <w:bottom w:w="0" w:type="dxa"/>
              <w:right w:w="10" w:type="dxa"/>
            </w:tcMar>
            <w:vAlign w:val="center"/>
          </w:tcPr>
          <w:p w:rsidR="00B7354F" w:rsidRDefault="00B7354F" w:rsidP="001D45DD">
            <w:pPr>
              <w:bidi w:val="0"/>
              <w:spacing w:before="60" w:after="60"/>
              <w:jc w:val="center"/>
              <w:rPr>
                <w:sz w:val="28"/>
                <w:szCs w:val="28"/>
              </w:rPr>
            </w:pPr>
            <w:r w:rsidRPr="00C97F55">
              <w:rPr>
                <w:sz w:val="28"/>
                <w:szCs w:val="28"/>
              </w:rPr>
              <w:t>Mild to moderate</w:t>
            </w:r>
          </w:p>
          <w:p w:rsidR="00B7354F" w:rsidRPr="00C97F55" w:rsidRDefault="00B7354F" w:rsidP="001D45DD">
            <w:pPr>
              <w:bidi w:val="0"/>
              <w:spacing w:before="60" w:after="60"/>
              <w:jc w:val="center"/>
              <w:rPr>
                <w:sz w:val="28"/>
                <w:szCs w:val="28"/>
              </w:rPr>
            </w:pPr>
            <w:r w:rsidRPr="00C97F55">
              <w:rPr>
                <w:sz w:val="28"/>
                <w:szCs w:val="28"/>
              </w:rPr>
              <w:t>hearing loss</w:t>
            </w:r>
          </w:p>
        </w:tc>
        <w:tc>
          <w:tcPr>
            <w:tcW w:w="395"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w:t>
            </w:r>
          </w:p>
        </w:tc>
        <w:tc>
          <w:tcPr>
            <w:tcW w:w="55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0.00%</w:t>
            </w:r>
          </w:p>
        </w:tc>
        <w:tc>
          <w:tcPr>
            <w:tcW w:w="422"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15</w:t>
            </w:r>
          </w:p>
        </w:tc>
        <w:tc>
          <w:tcPr>
            <w:tcW w:w="531" w:type="pct"/>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50.00%</w:t>
            </w:r>
          </w:p>
        </w:tc>
        <w:tc>
          <w:tcPr>
            <w:tcW w:w="460" w:type="pct"/>
            <w:vMerge/>
            <w:vAlign w:val="center"/>
          </w:tcPr>
          <w:p w:rsidR="00B7354F" w:rsidRPr="00C97F55" w:rsidRDefault="00B7354F" w:rsidP="001D45DD">
            <w:pPr>
              <w:bidi w:val="0"/>
              <w:spacing w:before="60" w:after="60"/>
              <w:jc w:val="center"/>
              <w:rPr>
                <w:sz w:val="28"/>
                <w:szCs w:val="28"/>
              </w:rPr>
            </w:pPr>
          </w:p>
        </w:tc>
        <w:tc>
          <w:tcPr>
            <w:tcW w:w="541" w:type="pct"/>
            <w:vMerge/>
            <w:vAlign w:val="center"/>
          </w:tcPr>
          <w:p w:rsidR="00B7354F" w:rsidRPr="00C97F55" w:rsidRDefault="00B7354F" w:rsidP="001D45DD">
            <w:pPr>
              <w:bidi w:val="0"/>
              <w:spacing w:before="60" w:after="60"/>
              <w:jc w:val="center"/>
              <w:rPr>
                <w:sz w:val="28"/>
                <w:szCs w:val="28"/>
              </w:rPr>
            </w:pPr>
          </w:p>
        </w:tc>
      </w:tr>
      <w:tr w:rsidR="00B7354F" w:rsidRPr="00C97F55">
        <w:trPr>
          <w:trHeight w:val="550"/>
        </w:trPr>
        <w:tc>
          <w:tcPr>
            <w:tcW w:w="262" w:type="pct"/>
            <w:vMerge/>
            <w:tcBorders>
              <w:bottom w:val="single" w:sz="18" w:space="0" w:color="000000"/>
            </w:tcBorders>
            <w:textDirection w:val="btLr"/>
            <w:vAlign w:val="center"/>
          </w:tcPr>
          <w:p w:rsidR="00B7354F" w:rsidRPr="00C97F55" w:rsidRDefault="00B7354F" w:rsidP="001D45DD">
            <w:pPr>
              <w:bidi w:val="0"/>
              <w:spacing w:before="60" w:after="60"/>
              <w:ind w:left="113" w:right="113"/>
              <w:jc w:val="center"/>
              <w:rPr>
                <w:b/>
                <w:bCs/>
                <w:sz w:val="28"/>
                <w:szCs w:val="28"/>
              </w:rPr>
            </w:pPr>
          </w:p>
        </w:tc>
        <w:tc>
          <w:tcPr>
            <w:tcW w:w="425" w:type="pct"/>
            <w:vMerge/>
            <w:tcBorders>
              <w:bottom w:val="single" w:sz="18" w:space="0" w:color="000000"/>
            </w:tcBorders>
            <w:vAlign w:val="center"/>
          </w:tcPr>
          <w:p w:rsidR="00B7354F" w:rsidRPr="00C97F55" w:rsidRDefault="00B7354F" w:rsidP="001D45DD">
            <w:pPr>
              <w:bidi w:val="0"/>
              <w:spacing w:before="60" w:after="60"/>
              <w:jc w:val="center"/>
              <w:rPr>
                <w:sz w:val="28"/>
                <w:szCs w:val="28"/>
              </w:rPr>
            </w:pPr>
          </w:p>
        </w:tc>
        <w:tc>
          <w:tcPr>
            <w:tcW w:w="1412" w:type="pct"/>
            <w:tcBorders>
              <w:bottom w:val="single" w:sz="18" w:space="0" w:color="000000"/>
            </w:tcBorders>
            <w:noWrap/>
            <w:tcMar>
              <w:top w:w="10" w:type="dxa"/>
              <w:left w:w="10" w:type="dxa"/>
              <w:bottom w:w="0" w:type="dxa"/>
              <w:right w:w="10" w:type="dxa"/>
            </w:tcMar>
            <w:vAlign w:val="center"/>
          </w:tcPr>
          <w:p w:rsidR="00B7354F" w:rsidRDefault="00B7354F" w:rsidP="001D45DD">
            <w:pPr>
              <w:bidi w:val="0"/>
              <w:spacing w:before="60" w:after="60"/>
              <w:jc w:val="center"/>
              <w:rPr>
                <w:sz w:val="28"/>
                <w:szCs w:val="28"/>
              </w:rPr>
            </w:pPr>
            <w:r w:rsidRPr="00C97F55">
              <w:rPr>
                <w:sz w:val="28"/>
                <w:szCs w:val="28"/>
              </w:rPr>
              <w:t>Severe to profound</w:t>
            </w:r>
          </w:p>
          <w:p w:rsidR="00B7354F" w:rsidRPr="00C97F55" w:rsidRDefault="00B7354F" w:rsidP="001D45DD">
            <w:pPr>
              <w:bidi w:val="0"/>
              <w:spacing w:before="60" w:after="60"/>
              <w:jc w:val="center"/>
              <w:rPr>
                <w:sz w:val="28"/>
                <w:szCs w:val="28"/>
              </w:rPr>
            </w:pPr>
            <w:r w:rsidRPr="00C97F55">
              <w:rPr>
                <w:sz w:val="28"/>
                <w:szCs w:val="28"/>
              </w:rPr>
              <w:t>hearing loss</w:t>
            </w:r>
          </w:p>
        </w:tc>
        <w:tc>
          <w:tcPr>
            <w:tcW w:w="395" w:type="pct"/>
            <w:tcBorders>
              <w:bottom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w:t>
            </w:r>
          </w:p>
        </w:tc>
        <w:tc>
          <w:tcPr>
            <w:tcW w:w="551" w:type="pct"/>
            <w:tcBorders>
              <w:bottom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0.00%</w:t>
            </w:r>
          </w:p>
        </w:tc>
        <w:tc>
          <w:tcPr>
            <w:tcW w:w="422" w:type="pct"/>
            <w:tcBorders>
              <w:bottom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9</w:t>
            </w:r>
          </w:p>
        </w:tc>
        <w:tc>
          <w:tcPr>
            <w:tcW w:w="531" w:type="pct"/>
            <w:tcBorders>
              <w:bottom w:val="single" w:sz="18" w:space="0" w:color="000000"/>
            </w:tcBorders>
            <w:noWrap/>
            <w:tcMar>
              <w:top w:w="10" w:type="dxa"/>
              <w:left w:w="10" w:type="dxa"/>
              <w:bottom w:w="0" w:type="dxa"/>
              <w:right w:w="10" w:type="dxa"/>
            </w:tcMar>
            <w:vAlign w:val="center"/>
          </w:tcPr>
          <w:p w:rsidR="00B7354F" w:rsidRPr="00C97F55" w:rsidRDefault="00B7354F" w:rsidP="001D45DD">
            <w:pPr>
              <w:bidi w:val="0"/>
              <w:spacing w:before="60" w:after="60"/>
              <w:jc w:val="center"/>
              <w:rPr>
                <w:sz w:val="28"/>
                <w:szCs w:val="28"/>
              </w:rPr>
            </w:pPr>
            <w:r w:rsidRPr="00C97F55">
              <w:rPr>
                <w:sz w:val="28"/>
                <w:szCs w:val="28"/>
              </w:rPr>
              <w:t>30.00%</w:t>
            </w:r>
          </w:p>
        </w:tc>
        <w:tc>
          <w:tcPr>
            <w:tcW w:w="460" w:type="pct"/>
            <w:vMerge/>
            <w:tcBorders>
              <w:bottom w:val="single" w:sz="18" w:space="0" w:color="000000"/>
            </w:tcBorders>
            <w:vAlign w:val="center"/>
          </w:tcPr>
          <w:p w:rsidR="00B7354F" w:rsidRPr="00C97F55" w:rsidRDefault="00B7354F" w:rsidP="001D45DD">
            <w:pPr>
              <w:bidi w:val="0"/>
              <w:spacing w:before="60" w:after="60"/>
              <w:jc w:val="center"/>
              <w:rPr>
                <w:sz w:val="28"/>
                <w:szCs w:val="28"/>
              </w:rPr>
            </w:pPr>
          </w:p>
        </w:tc>
        <w:tc>
          <w:tcPr>
            <w:tcW w:w="541" w:type="pct"/>
            <w:vMerge/>
            <w:tcBorders>
              <w:bottom w:val="single" w:sz="18" w:space="0" w:color="000000"/>
            </w:tcBorders>
            <w:vAlign w:val="center"/>
          </w:tcPr>
          <w:p w:rsidR="00B7354F" w:rsidRPr="00C97F55" w:rsidRDefault="00B7354F" w:rsidP="001D45DD">
            <w:pPr>
              <w:bidi w:val="0"/>
              <w:spacing w:before="60" w:after="60"/>
              <w:jc w:val="center"/>
              <w:rPr>
                <w:sz w:val="28"/>
                <w:szCs w:val="28"/>
              </w:rPr>
            </w:pPr>
          </w:p>
        </w:tc>
      </w:tr>
    </w:tbl>
    <w:p w:rsidR="00B7354F" w:rsidRPr="00C97F55" w:rsidRDefault="00B7354F" w:rsidP="00CA0D5E">
      <w:pPr>
        <w:bidi w:val="0"/>
        <w:jc w:val="both"/>
        <w:rPr>
          <w:sz w:val="28"/>
          <w:szCs w:val="28"/>
        </w:rPr>
      </w:pPr>
      <w:r w:rsidRPr="00C97F55">
        <w:rPr>
          <w:sz w:val="28"/>
          <w:szCs w:val="28"/>
        </w:rPr>
        <w:t>There is a highly statistically significant difference between jaundiced group and control group regarding hearing threshold before treatment in both ears.</w:t>
      </w: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b/>
          <w:bCs/>
          <w:sz w:val="32"/>
          <w:szCs w:val="32"/>
        </w:rPr>
      </w:pPr>
    </w:p>
    <w:p w:rsidR="00B7354F" w:rsidRDefault="00B7354F" w:rsidP="00CA0D5E">
      <w:pPr>
        <w:bidi w:val="0"/>
        <w:jc w:val="both"/>
        <w:rPr>
          <w:sz w:val="28"/>
          <w:szCs w:val="28"/>
        </w:rPr>
      </w:pPr>
      <w:r>
        <w:rPr>
          <w:b/>
          <w:bCs/>
          <w:sz w:val="28"/>
          <w:szCs w:val="28"/>
        </w:rPr>
        <w:t>Table (4</w:t>
      </w:r>
      <w:r w:rsidRPr="001D1E5A">
        <w:rPr>
          <w:b/>
          <w:bCs/>
          <w:sz w:val="28"/>
          <w:szCs w:val="28"/>
        </w:rPr>
        <w:t>)</w:t>
      </w:r>
      <w:r w:rsidRPr="001D1E5A">
        <w:rPr>
          <w:sz w:val="28"/>
          <w:szCs w:val="28"/>
        </w:rPr>
        <w:t xml:space="preserve"> Comparison between jaundiced group before and after treatment </w:t>
      </w:r>
    </w:p>
    <w:p w:rsidR="00B7354F" w:rsidRDefault="00B7354F" w:rsidP="00CA0D5E">
      <w:pPr>
        <w:bidi w:val="0"/>
        <w:jc w:val="both"/>
        <w:rPr>
          <w:sz w:val="28"/>
          <w:szCs w:val="28"/>
        </w:rPr>
      </w:pPr>
      <w:r w:rsidRPr="001D1E5A">
        <w:rPr>
          <w:sz w:val="28"/>
          <w:szCs w:val="28"/>
        </w:rPr>
        <w:t xml:space="preserve">regarding absolute and interpeak latencies </w:t>
      </w:r>
    </w:p>
    <w:p w:rsidR="00B7354F" w:rsidRPr="001D1E5A" w:rsidRDefault="00B7354F" w:rsidP="00CA0D5E">
      <w:pPr>
        <w:bidi w:val="0"/>
        <w:jc w:val="both"/>
        <w:rPr>
          <w:sz w:val="28"/>
          <w:szCs w:val="28"/>
        </w:rPr>
      </w:pPr>
    </w:p>
    <w:tbl>
      <w:tblPr>
        <w:tblW w:w="5000" w:type="pct"/>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60"/>
        <w:gridCol w:w="1943"/>
        <w:gridCol w:w="1019"/>
        <w:gridCol w:w="758"/>
        <w:gridCol w:w="922"/>
        <w:gridCol w:w="942"/>
        <w:gridCol w:w="872"/>
        <w:gridCol w:w="1134"/>
      </w:tblGrid>
      <w:tr w:rsidR="00B7354F" w:rsidRPr="001D1E5A">
        <w:tc>
          <w:tcPr>
            <w:tcW w:w="1698" w:type="pct"/>
            <w:gridSpan w:val="2"/>
            <w:vMerge w:val="restart"/>
            <w:tcBorders>
              <w:top w:val="single" w:sz="18" w:space="0" w:color="000000"/>
              <w:left w:val="single" w:sz="18" w:space="0" w:color="000000"/>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Pr>
                <w:b/>
                <w:bCs/>
                <w:color w:val="000000"/>
                <w:sz w:val="28"/>
                <w:szCs w:val="28"/>
              </w:rPr>
              <w:t xml:space="preserve">Absolut </w:t>
            </w:r>
            <w:r w:rsidRPr="001D1E5A">
              <w:rPr>
                <w:b/>
                <w:bCs/>
                <w:color w:val="000000"/>
                <w:sz w:val="28"/>
                <w:szCs w:val="28"/>
              </w:rPr>
              <w:t>&amp;Interpeak Latencies</w:t>
            </w:r>
            <w:r w:rsidRPr="001D1E5A">
              <w:rPr>
                <w:rStyle w:val="apple-converted-space"/>
                <w:b/>
                <w:bCs/>
                <w:color w:val="000000"/>
                <w:sz w:val="28"/>
                <w:szCs w:val="28"/>
              </w:rPr>
              <w:t> </w:t>
            </w:r>
            <w:r w:rsidRPr="001D1E5A">
              <w:rPr>
                <w:b/>
                <w:bCs/>
                <w:color w:val="000000"/>
                <w:sz w:val="28"/>
                <w:szCs w:val="28"/>
              </w:rPr>
              <w:br/>
              <w:t>Before Treatment</w:t>
            </w:r>
          </w:p>
        </w:tc>
        <w:tc>
          <w:tcPr>
            <w:tcW w:w="1039" w:type="pct"/>
            <w:gridSpan w:val="2"/>
            <w:tcBorders>
              <w:top w:val="single" w:sz="18" w:space="0" w:color="000000"/>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b/>
                <w:bCs/>
                <w:color w:val="000000"/>
                <w:sz w:val="28"/>
                <w:szCs w:val="28"/>
              </w:rPr>
              <w:t>Before</w:t>
            </w:r>
          </w:p>
        </w:tc>
        <w:tc>
          <w:tcPr>
            <w:tcW w:w="1090" w:type="pct"/>
            <w:gridSpan w:val="2"/>
            <w:tcBorders>
              <w:top w:val="single" w:sz="18" w:space="0" w:color="000000"/>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b/>
                <w:bCs/>
                <w:color w:val="000000"/>
                <w:sz w:val="28"/>
                <w:szCs w:val="28"/>
              </w:rPr>
              <w:t>After</w:t>
            </w:r>
          </w:p>
        </w:tc>
        <w:tc>
          <w:tcPr>
            <w:tcW w:w="1173" w:type="pct"/>
            <w:gridSpan w:val="2"/>
            <w:tcBorders>
              <w:top w:val="single" w:sz="18" w:space="0" w:color="000000"/>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b/>
                <w:bCs/>
                <w:color w:val="000000"/>
                <w:sz w:val="28"/>
                <w:szCs w:val="28"/>
              </w:rPr>
              <w:t>Independent t-test</w:t>
            </w:r>
          </w:p>
        </w:tc>
      </w:tr>
      <w:tr w:rsidR="00B7354F" w:rsidRPr="001D1E5A">
        <w:tc>
          <w:tcPr>
            <w:tcW w:w="1698" w:type="pct"/>
            <w:gridSpan w:val="2"/>
            <w:vMerge/>
            <w:tcBorders>
              <w:top w:val="single" w:sz="18" w:space="0" w:color="000000"/>
              <w:left w:val="single" w:sz="18" w:space="0" w:color="000000"/>
              <w:bottom w:val="single" w:sz="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b/>
                <w:bCs/>
                <w:color w:val="000000"/>
                <w:sz w:val="28"/>
                <w:szCs w:val="28"/>
              </w:rPr>
              <w:t>Mean</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sz w:val="28"/>
                <w:szCs w:val="28"/>
              </w:rPr>
              <w:t>±</w:t>
            </w:r>
            <w:r w:rsidRPr="001D1E5A">
              <w:rPr>
                <w:b/>
                <w:bCs/>
                <w:color w:val="000000"/>
                <w:sz w:val="28"/>
                <w:szCs w:val="28"/>
              </w:rPr>
              <w:t>SD</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b/>
                <w:bCs/>
                <w:color w:val="000000"/>
                <w:sz w:val="28"/>
                <w:szCs w:val="28"/>
              </w:rPr>
              <w:t>Mean</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sz w:val="28"/>
                <w:szCs w:val="28"/>
              </w:rPr>
              <w:t>±</w:t>
            </w:r>
            <w:r w:rsidRPr="001D1E5A">
              <w:rPr>
                <w:b/>
                <w:bCs/>
                <w:color w:val="000000"/>
                <w:sz w:val="28"/>
                <w:szCs w:val="28"/>
              </w:rPr>
              <w:t>SD</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b/>
                <w:bCs/>
                <w:color w:val="000000"/>
                <w:sz w:val="28"/>
                <w:szCs w:val="28"/>
              </w:rPr>
              <w:t>t</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b/>
                <w:bCs/>
                <w:color w:val="000000"/>
                <w:sz w:val="28"/>
                <w:szCs w:val="28"/>
              </w:rPr>
              <w:t>P-value</w:t>
            </w:r>
          </w:p>
        </w:tc>
      </w:tr>
      <w:tr w:rsidR="00B7354F" w:rsidRPr="001D1E5A">
        <w:tc>
          <w:tcPr>
            <w:tcW w:w="562" w:type="pct"/>
            <w:vMerge w:val="restart"/>
            <w:tcBorders>
              <w:top w:val="nil"/>
              <w:left w:val="single" w:sz="18" w:space="0" w:color="000000"/>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Right</w:t>
            </w: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1.84</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0.30</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1.63</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0.23</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3.043</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0.004</w:t>
            </w:r>
          </w:p>
        </w:tc>
      </w:tr>
      <w:tr w:rsidR="00B7354F" w:rsidRPr="001D1E5A">
        <w:tc>
          <w:tcPr>
            <w:tcW w:w="852" w:type="dxa"/>
            <w:vMerge/>
            <w:tcBorders>
              <w:top w:val="nil"/>
              <w:left w:val="single" w:sz="18" w:space="0" w:color="000000"/>
              <w:bottom w:val="single" w:sz="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III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4.41</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0.28</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3.81</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0.24</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8.911</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0.000</w:t>
            </w:r>
          </w:p>
        </w:tc>
      </w:tr>
      <w:tr w:rsidR="00B7354F" w:rsidRPr="001D1E5A">
        <w:tc>
          <w:tcPr>
            <w:tcW w:w="852" w:type="dxa"/>
            <w:vMerge/>
            <w:tcBorders>
              <w:top w:val="nil"/>
              <w:left w:val="single" w:sz="18" w:space="0" w:color="000000"/>
              <w:bottom w:val="single" w:sz="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V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7.01</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0.52</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6.01</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0.35</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8.738</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0.000</w:t>
            </w:r>
          </w:p>
        </w:tc>
      </w:tr>
      <w:tr w:rsidR="00B7354F" w:rsidRPr="001D1E5A">
        <w:tc>
          <w:tcPr>
            <w:tcW w:w="852" w:type="dxa"/>
            <w:vMerge/>
            <w:tcBorders>
              <w:top w:val="nil"/>
              <w:left w:val="single" w:sz="18" w:space="0" w:color="000000"/>
              <w:bottom w:val="single" w:sz="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I-III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2.57</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0.41</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2.18</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0.29</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4.254</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0.000</w:t>
            </w:r>
          </w:p>
        </w:tc>
      </w:tr>
      <w:tr w:rsidR="00B7354F" w:rsidRPr="001D1E5A">
        <w:tc>
          <w:tcPr>
            <w:tcW w:w="852" w:type="dxa"/>
            <w:vMerge/>
            <w:tcBorders>
              <w:top w:val="nil"/>
              <w:left w:val="single" w:sz="18" w:space="0" w:color="000000"/>
              <w:bottom w:val="single" w:sz="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III-V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2.46</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0.28</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2.2</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0.34</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3.233</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0.002</w:t>
            </w:r>
          </w:p>
        </w:tc>
      </w:tr>
      <w:tr w:rsidR="00B7354F" w:rsidRPr="001D1E5A">
        <w:tc>
          <w:tcPr>
            <w:tcW w:w="852" w:type="dxa"/>
            <w:vMerge/>
            <w:tcBorders>
              <w:top w:val="nil"/>
              <w:left w:val="single" w:sz="18" w:space="0" w:color="000000"/>
              <w:bottom w:val="single" w:sz="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I-V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5.03</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0.17</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4.38</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0.40</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8.191</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0.000</w:t>
            </w:r>
          </w:p>
        </w:tc>
      </w:tr>
      <w:tr w:rsidR="00B7354F" w:rsidRPr="001D1E5A">
        <w:tc>
          <w:tcPr>
            <w:tcW w:w="852" w:type="dxa"/>
            <w:vMerge/>
            <w:tcBorders>
              <w:top w:val="nil"/>
              <w:left w:val="single" w:sz="18" w:space="0" w:color="000000"/>
              <w:bottom w:val="single" w:sz="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V at 40 Db</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8.06</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0.79</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7.58</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0.34</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3.057</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0.003</w:t>
            </w:r>
          </w:p>
        </w:tc>
      </w:tr>
      <w:tr w:rsidR="00B7354F" w:rsidRPr="001D1E5A">
        <w:tc>
          <w:tcPr>
            <w:tcW w:w="562" w:type="pct"/>
            <w:vMerge w:val="restart"/>
            <w:tcBorders>
              <w:top w:val="nil"/>
              <w:left w:val="single" w:sz="18" w:space="0" w:color="000000"/>
              <w:bottom w:val="single" w:sz="1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Left</w:t>
            </w: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1.85</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0.32</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1.55</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0.17</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4.534</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0.000</w:t>
            </w:r>
          </w:p>
        </w:tc>
      </w:tr>
      <w:tr w:rsidR="00B7354F" w:rsidRPr="001D1E5A">
        <w:tc>
          <w:tcPr>
            <w:tcW w:w="852" w:type="dxa"/>
            <w:vMerge/>
            <w:tcBorders>
              <w:top w:val="nil"/>
              <w:left w:val="single" w:sz="18" w:space="0" w:color="000000"/>
              <w:bottom w:val="single" w:sz="1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III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4.41</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0.41</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4.26</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0.29</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4.362</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0.000</w:t>
            </w:r>
          </w:p>
        </w:tc>
      </w:tr>
      <w:tr w:rsidR="00B7354F" w:rsidRPr="001D1E5A">
        <w:tc>
          <w:tcPr>
            <w:tcW w:w="852" w:type="dxa"/>
            <w:vMerge/>
            <w:tcBorders>
              <w:top w:val="nil"/>
              <w:left w:val="single" w:sz="18" w:space="0" w:color="000000"/>
              <w:bottom w:val="single" w:sz="1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V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6.85</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0.67</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6.43</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0.41</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2.929</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0.005</w:t>
            </w:r>
          </w:p>
        </w:tc>
      </w:tr>
      <w:tr w:rsidR="00B7354F" w:rsidRPr="001D1E5A">
        <w:tc>
          <w:tcPr>
            <w:tcW w:w="852" w:type="dxa"/>
            <w:vMerge/>
            <w:tcBorders>
              <w:top w:val="nil"/>
              <w:left w:val="single" w:sz="18" w:space="0" w:color="000000"/>
              <w:bottom w:val="single" w:sz="1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I-III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2.65</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0.43</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2.71</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0.42</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2.643</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0.010</w:t>
            </w:r>
          </w:p>
        </w:tc>
      </w:tr>
      <w:tr w:rsidR="00B7354F" w:rsidRPr="001D1E5A">
        <w:tc>
          <w:tcPr>
            <w:tcW w:w="852" w:type="dxa"/>
            <w:vMerge/>
            <w:tcBorders>
              <w:top w:val="nil"/>
              <w:left w:val="single" w:sz="18" w:space="0" w:color="000000"/>
              <w:bottom w:val="single" w:sz="1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III-V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2.44</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0.39</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2.17</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0.42</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2.962</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0.004</w:t>
            </w:r>
          </w:p>
        </w:tc>
      </w:tr>
      <w:tr w:rsidR="00B7354F" w:rsidRPr="001D1E5A">
        <w:tc>
          <w:tcPr>
            <w:tcW w:w="852" w:type="dxa"/>
            <w:vMerge/>
            <w:tcBorders>
              <w:top w:val="nil"/>
              <w:left w:val="single" w:sz="18" w:space="0" w:color="000000"/>
              <w:bottom w:val="single" w:sz="1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I-V (ms)</w:t>
            </w:r>
          </w:p>
        </w:tc>
        <w:tc>
          <w:tcPr>
            <w:tcW w:w="596"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5.00</w:t>
            </w:r>
          </w:p>
        </w:tc>
        <w:tc>
          <w:tcPr>
            <w:tcW w:w="443"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0.50</w:t>
            </w:r>
          </w:p>
        </w:tc>
        <w:tc>
          <w:tcPr>
            <w:tcW w:w="539"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4.88</w:t>
            </w:r>
          </w:p>
        </w:tc>
        <w:tc>
          <w:tcPr>
            <w:tcW w:w="551"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0.53</w:t>
            </w:r>
          </w:p>
        </w:tc>
        <w:tc>
          <w:tcPr>
            <w:tcW w:w="510" w:type="pct"/>
            <w:tcBorders>
              <w:top w:val="nil"/>
              <w:left w:val="nil"/>
              <w:bottom w:val="single" w:sz="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2.847</w:t>
            </w:r>
          </w:p>
        </w:tc>
        <w:tc>
          <w:tcPr>
            <w:tcW w:w="663" w:type="pct"/>
            <w:tcBorders>
              <w:top w:val="nil"/>
              <w:left w:val="nil"/>
              <w:bottom w:val="single" w:sz="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0.006</w:t>
            </w:r>
          </w:p>
        </w:tc>
      </w:tr>
      <w:tr w:rsidR="00B7354F" w:rsidRPr="001D1E5A">
        <w:tc>
          <w:tcPr>
            <w:tcW w:w="852" w:type="dxa"/>
            <w:vMerge/>
            <w:tcBorders>
              <w:top w:val="nil"/>
              <w:left w:val="single" w:sz="18" w:space="0" w:color="000000"/>
              <w:bottom w:val="single" w:sz="18" w:space="0" w:color="000000"/>
              <w:right w:val="single" w:sz="8" w:space="0" w:color="000000"/>
            </w:tcBorders>
            <w:shd w:val="clear" w:color="auto" w:fill="FFFFFF"/>
            <w:vAlign w:val="center"/>
          </w:tcPr>
          <w:p w:rsidR="00B7354F" w:rsidRPr="001D1E5A" w:rsidRDefault="00B7354F" w:rsidP="00646EED">
            <w:pPr>
              <w:bidi w:val="0"/>
              <w:spacing w:before="60" w:after="60"/>
              <w:jc w:val="center"/>
              <w:rPr>
                <w:color w:val="000000"/>
                <w:sz w:val="28"/>
                <w:szCs w:val="28"/>
              </w:rPr>
            </w:pPr>
          </w:p>
        </w:tc>
        <w:tc>
          <w:tcPr>
            <w:tcW w:w="1136" w:type="pct"/>
            <w:tcBorders>
              <w:top w:val="nil"/>
              <w:left w:val="nil"/>
              <w:bottom w:val="single" w:sz="1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V at 40 dB</w:t>
            </w:r>
          </w:p>
        </w:tc>
        <w:tc>
          <w:tcPr>
            <w:tcW w:w="596" w:type="pct"/>
            <w:tcBorders>
              <w:top w:val="nil"/>
              <w:left w:val="nil"/>
              <w:bottom w:val="single" w:sz="1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8.32</w:t>
            </w:r>
          </w:p>
        </w:tc>
        <w:tc>
          <w:tcPr>
            <w:tcW w:w="443" w:type="pct"/>
            <w:tcBorders>
              <w:top w:val="nil"/>
              <w:left w:val="nil"/>
              <w:bottom w:val="single" w:sz="1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0.23</w:t>
            </w:r>
          </w:p>
        </w:tc>
        <w:tc>
          <w:tcPr>
            <w:tcW w:w="539" w:type="pct"/>
            <w:tcBorders>
              <w:top w:val="nil"/>
              <w:left w:val="nil"/>
              <w:bottom w:val="single" w:sz="1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7.97</w:t>
            </w:r>
          </w:p>
        </w:tc>
        <w:tc>
          <w:tcPr>
            <w:tcW w:w="551" w:type="pct"/>
            <w:tcBorders>
              <w:top w:val="nil"/>
              <w:left w:val="nil"/>
              <w:bottom w:val="single" w:sz="18" w:space="0" w:color="000000"/>
              <w:right w:val="single" w:sz="8" w:space="0" w:color="000000"/>
            </w:tcBorders>
            <w:noWrap/>
            <w:vAlign w:val="center"/>
          </w:tcPr>
          <w:p w:rsidR="00B7354F" w:rsidRPr="001D1E5A" w:rsidRDefault="00B7354F" w:rsidP="00646EED">
            <w:pPr>
              <w:pStyle w:val="yiv8023259954msonormal"/>
              <w:spacing w:before="0" w:beforeAutospacing="0" w:after="0" w:afterAutospacing="0"/>
              <w:jc w:val="center"/>
              <w:rPr>
                <w:color w:val="000000"/>
                <w:sz w:val="28"/>
                <w:szCs w:val="28"/>
              </w:rPr>
            </w:pPr>
            <w:r w:rsidRPr="001D1E5A">
              <w:rPr>
                <w:color w:val="000000"/>
                <w:sz w:val="28"/>
                <w:szCs w:val="28"/>
              </w:rPr>
              <w:t>0.49</w:t>
            </w:r>
          </w:p>
        </w:tc>
        <w:tc>
          <w:tcPr>
            <w:tcW w:w="510" w:type="pct"/>
            <w:tcBorders>
              <w:top w:val="nil"/>
              <w:left w:val="nil"/>
              <w:bottom w:val="single" w:sz="18" w:space="0" w:color="000000"/>
              <w:right w:val="single" w:sz="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3.542</w:t>
            </w:r>
          </w:p>
        </w:tc>
        <w:tc>
          <w:tcPr>
            <w:tcW w:w="663" w:type="pct"/>
            <w:tcBorders>
              <w:top w:val="nil"/>
              <w:left w:val="nil"/>
              <w:bottom w:val="single" w:sz="18" w:space="0" w:color="000000"/>
              <w:right w:val="single" w:sz="18" w:space="0" w:color="000000"/>
            </w:tcBorders>
            <w:noWrap/>
            <w:vAlign w:val="center"/>
          </w:tcPr>
          <w:p w:rsidR="00B7354F" w:rsidRPr="001D1E5A" w:rsidRDefault="00B7354F" w:rsidP="00646EED">
            <w:pPr>
              <w:pStyle w:val="yiv8023259954msonormal"/>
              <w:spacing w:before="60" w:beforeAutospacing="0" w:after="60" w:afterAutospacing="0"/>
              <w:jc w:val="center"/>
              <w:rPr>
                <w:color w:val="000000"/>
                <w:sz w:val="28"/>
                <w:szCs w:val="28"/>
              </w:rPr>
            </w:pPr>
            <w:r w:rsidRPr="001D1E5A">
              <w:rPr>
                <w:color w:val="000000"/>
                <w:sz w:val="28"/>
                <w:szCs w:val="28"/>
              </w:rPr>
              <w:t>0.001</w:t>
            </w:r>
          </w:p>
        </w:tc>
      </w:tr>
    </w:tbl>
    <w:p w:rsidR="00B7354F" w:rsidRDefault="00B7354F" w:rsidP="00CA0D5E">
      <w:pPr>
        <w:bidi w:val="0"/>
        <w:jc w:val="both"/>
        <w:rPr>
          <w:sz w:val="28"/>
          <w:szCs w:val="28"/>
        </w:rPr>
      </w:pPr>
    </w:p>
    <w:p w:rsidR="00B7354F" w:rsidRDefault="00B7354F" w:rsidP="00CA0D5E">
      <w:pPr>
        <w:bidi w:val="0"/>
        <w:jc w:val="both"/>
        <w:rPr>
          <w:sz w:val="28"/>
          <w:szCs w:val="28"/>
        </w:rPr>
      </w:pPr>
    </w:p>
    <w:p w:rsidR="00B7354F" w:rsidRPr="001D1E5A" w:rsidRDefault="00B7354F" w:rsidP="00CA0D5E">
      <w:pPr>
        <w:bidi w:val="0"/>
        <w:jc w:val="both"/>
        <w:rPr>
          <w:sz w:val="28"/>
          <w:szCs w:val="28"/>
        </w:rPr>
      </w:pPr>
      <w:r w:rsidRPr="001D1E5A">
        <w:rPr>
          <w:sz w:val="28"/>
          <w:szCs w:val="28"/>
        </w:rPr>
        <w:t>This table shows that there is a highly statistically significant difference between jaundiced group before and after treatment in all absolute and interpeak latencies in the right and left ears.</w:t>
      </w:r>
    </w:p>
    <w:p w:rsidR="00B7354F" w:rsidRDefault="00B7354F" w:rsidP="00CA0D5E">
      <w:pPr>
        <w:bidi w:val="0"/>
        <w:jc w:val="both"/>
        <w:rPr>
          <w:sz w:val="28"/>
          <w:szCs w:val="28"/>
        </w:rPr>
      </w:pPr>
    </w:p>
    <w:p w:rsidR="00B7354F" w:rsidRDefault="00B7354F" w:rsidP="00CA0D5E">
      <w:pPr>
        <w:bidi w:val="0"/>
        <w:jc w:val="both"/>
        <w:rPr>
          <w:b/>
          <w:bCs/>
          <w:sz w:val="28"/>
          <w:szCs w:val="28"/>
        </w:rPr>
      </w:pPr>
    </w:p>
    <w:p w:rsidR="00B7354F" w:rsidRDefault="00B7354F" w:rsidP="00CA0D5E">
      <w:pPr>
        <w:bidi w:val="0"/>
        <w:jc w:val="both"/>
        <w:rPr>
          <w:b/>
          <w:bCs/>
          <w:sz w:val="28"/>
          <w:szCs w:val="28"/>
        </w:rPr>
      </w:pPr>
    </w:p>
    <w:p w:rsidR="00B7354F" w:rsidRDefault="00B7354F" w:rsidP="00CA0D5E">
      <w:pPr>
        <w:bidi w:val="0"/>
        <w:jc w:val="both"/>
        <w:rPr>
          <w:b/>
          <w:bCs/>
          <w:sz w:val="28"/>
          <w:szCs w:val="28"/>
        </w:rPr>
      </w:pPr>
    </w:p>
    <w:p w:rsidR="00B7354F" w:rsidRDefault="00B7354F" w:rsidP="00CA0D5E">
      <w:pPr>
        <w:bidi w:val="0"/>
        <w:jc w:val="both"/>
        <w:rPr>
          <w:b/>
          <w:bCs/>
          <w:sz w:val="28"/>
          <w:szCs w:val="28"/>
        </w:rPr>
      </w:pPr>
    </w:p>
    <w:p w:rsidR="00B7354F" w:rsidRDefault="00B7354F" w:rsidP="00CA0D5E">
      <w:pPr>
        <w:bidi w:val="0"/>
        <w:jc w:val="both"/>
        <w:rPr>
          <w:b/>
          <w:bCs/>
          <w:sz w:val="28"/>
          <w:szCs w:val="28"/>
        </w:rPr>
      </w:pPr>
    </w:p>
    <w:p w:rsidR="00B7354F" w:rsidRDefault="00B7354F" w:rsidP="00CA0D5E">
      <w:pPr>
        <w:bidi w:val="0"/>
        <w:jc w:val="both"/>
        <w:rPr>
          <w:b/>
          <w:bCs/>
          <w:sz w:val="28"/>
          <w:szCs w:val="28"/>
        </w:rPr>
      </w:pPr>
    </w:p>
    <w:p w:rsidR="00B7354F" w:rsidRDefault="00B7354F" w:rsidP="00CA0D5E">
      <w:pPr>
        <w:bidi w:val="0"/>
        <w:jc w:val="both"/>
        <w:rPr>
          <w:b/>
          <w:bCs/>
          <w:sz w:val="28"/>
          <w:szCs w:val="28"/>
        </w:rPr>
      </w:pPr>
    </w:p>
    <w:p w:rsidR="00B7354F" w:rsidRDefault="00B7354F" w:rsidP="00CA0D5E">
      <w:pPr>
        <w:bidi w:val="0"/>
        <w:jc w:val="both"/>
        <w:rPr>
          <w:sz w:val="28"/>
          <w:szCs w:val="28"/>
        </w:rPr>
      </w:pPr>
      <w:r>
        <w:rPr>
          <w:b/>
          <w:bCs/>
          <w:sz w:val="28"/>
          <w:szCs w:val="28"/>
        </w:rPr>
        <w:t>Table (5</w:t>
      </w:r>
      <w:r w:rsidRPr="00AD6A82">
        <w:rPr>
          <w:b/>
          <w:bCs/>
          <w:sz w:val="28"/>
          <w:szCs w:val="28"/>
        </w:rPr>
        <w:t>)</w:t>
      </w:r>
      <w:r w:rsidRPr="00AD6A82">
        <w:rPr>
          <w:sz w:val="28"/>
          <w:szCs w:val="28"/>
        </w:rPr>
        <w:t xml:space="preserve"> Comparison between jaundiced group before and after treatment regarding wave morphology</w:t>
      </w:r>
    </w:p>
    <w:p w:rsidR="00B7354F" w:rsidRPr="00AD6A82" w:rsidRDefault="00B7354F" w:rsidP="00CA0D5E">
      <w:pPr>
        <w:bidi w:val="0"/>
        <w:jc w:val="both"/>
        <w:rPr>
          <w:sz w:val="28"/>
          <w:szCs w:val="28"/>
        </w:rPr>
      </w:pPr>
    </w:p>
    <w:tbl>
      <w:tblPr>
        <w:tblW w:w="4641" w:type="pct"/>
        <w:tblInd w:w="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0" w:type="dxa"/>
          <w:right w:w="0" w:type="dxa"/>
        </w:tblCellMar>
        <w:tblLook w:val="0000"/>
      </w:tblPr>
      <w:tblGrid>
        <w:gridCol w:w="558"/>
        <w:gridCol w:w="1113"/>
        <w:gridCol w:w="1486"/>
        <w:gridCol w:w="662"/>
        <w:gridCol w:w="929"/>
        <w:gridCol w:w="655"/>
        <w:gridCol w:w="936"/>
        <w:gridCol w:w="759"/>
        <w:gridCol w:w="838"/>
      </w:tblGrid>
      <w:tr w:rsidR="00B7354F" w:rsidRPr="0082089E">
        <w:trPr>
          <w:trHeight w:val="738"/>
        </w:trPr>
        <w:tc>
          <w:tcPr>
            <w:tcW w:w="1991" w:type="pct"/>
            <w:gridSpan w:val="3"/>
            <w:vMerge w:val="restart"/>
            <w:tcBorders>
              <w:top w:val="single" w:sz="18" w:space="0" w:color="000000"/>
            </w:tcBorders>
            <w:noWrap/>
            <w:vAlign w:val="center"/>
          </w:tcPr>
          <w:p w:rsidR="00B7354F" w:rsidRPr="0082089E" w:rsidRDefault="00B7354F" w:rsidP="00CA0D5E">
            <w:pPr>
              <w:bidi w:val="0"/>
              <w:jc w:val="both"/>
              <w:rPr>
                <w:b/>
                <w:bCs/>
              </w:rPr>
            </w:pPr>
            <w:r w:rsidRPr="0082089E">
              <w:rPr>
                <w:b/>
                <w:bCs/>
              </w:rPr>
              <w:t>Wave morphology</w:t>
            </w:r>
          </w:p>
        </w:tc>
        <w:tc>
          <w:tcPr>
            <w:tcW w:w="1004" w:type="pct"/>
            <w:gridSpan w:val="2"/>
            <w:tcBorders>
              <w:top w:val="single" w:sz="18" w:space="0" w:color="000000"/>
            </w:tcBorders>
            <w:noWrap/>
            <w:vAlign w:val="center"/>
          </w:tcPr>
          <w:p w:rsidR="00B7354F" w:rsidRPr="0082089E" w:rsidRDefault="00B7354F" w:rsidP="00CA0D5E">
            <w:pPr>
              <w:bidi w:val="0"/>
              <w:jc w:val="both"/>
              <w:rPr>
                <w:b/>
                <w:bCs/>
              </w:rPr>
            </w:pPr>
            <w:r w:rsidRPr="0082089E">
              <w:rPr>
                <w:b/>
                <w:bCs/>
              </w:rPr>
              <w:t>Before</w:t>
            </w:r>
          </w:p>
        </w:tc>
        <w:tc>
          <w:tcPr>
            <w:tcW w:w="1003" w:type="pct"/>
            <w:gridSpan w:val="2"/>
            <w:tcBorders>
              <w:top w:val="single" w:sz="18" w:space="0" w:color="000000"/>
            </w:tcBorders>
            <w:noWrap/>
            <w:vAlign w:val="center"/>
          </w:tcPr>
          <w:p w:rsidR="00B7354F" w:rsidRPr="0082089E" w:rsidRDefault="00B7354F" w:rsidP="00CA0D5E">
            <w:pPr>
              <w:bidi w:val="0"/>
              <w:jc w:val="both"/>
              <w:rPr>
                <w:b/>
                <w:bCs/>
              </w:rPr>
            </w:pPr>
            <w:r w:rsidRPr="0082089E">
              <w:rPr>
                <w:b/>
                <w:bCs/>
              </w:rPr>
              <w:t>After</w:t>
            </w:r>
          </w:p>
        </w:tc>
        <w:tc>
          <w:tcPr>
            <w:tcW w:w="1001" w:type="pct"/>
            <w:gridSpan w:val="2"/>
            <w:tcBorders>
              <w:top w:val="single" w:sz="18" w:space="0" w:color="000000"/>
            </w:tcBorders>
            <w:noWrap/>
            <w:vAlign w:val="center"/>
          </w:tcPr>
          <w:p w:rsidR="00B7354F" w:rsidRPr="0082089E" w:rsidRDefault="00B7354F" w:rsidP="00CA0D5E">
            <w:pPr>
              <w:bidi w:val="0"/>
              <w:jc w:val="both"/>
              <w:rPr>
                <w:b/>
                <w:bCs/>
              </w:rPr>
            </w:pPr>
            <w:r w:rsidRPr="0082089E">
              <w:rPr>
                <w:b/>
                <w:bCs/>
              </w:rPr>
              <w:t>Chi-square test</w:t>
            </w:r>
          </w:p>
        </w:tc>
      </w:tr>
      <w:tr w:rsidR="00B7354F" w:rsidRPr="0082089E">
        <w:trPr>
          <w:trHeight w:val="354"/>
        </w:trPr>
        <w:tc>
          <w:tcPr>
            <w:tcW w:w="1991" w:type="pct"/>
            <w:gridSpan w:val="3"/>
            <w:vMerge/>
            <w:vAlign w:val="center"/>
          </w:tcPr>
          <w:p w:rsidR="00B7354F" w:rsidRPr="0082089E" w:rsidRDefault="00B7354F" w:rsidP="00CA0D5E">
            <w:pPr>
              <w:bidi w:val="0"/>
              <w:jc w:val="both"/>
              <w:rPr>
                <w:b/>
                <w:bCs/>
              </w:rPr>
            </w:pPr>
          </w:p>
        </w:tc>
        <w:tc>
          <w:tcPr>
            <w:tcW w:w="418" w:type="pct"/>
            <w:noWrap/>
            <w:vAlign w:val="center"/>
          </w:tcPr>
          <w:p w:rsidR="00B7354F" w:rsidRPr="0082089E" w:rsidRDefault="00B7354F" w:rsidP="00CA0D5E">
            <w:pPr>
              <w:bidi w:val="0"/>
              <w:jc w:val="both"/>
              <w:rPr>
                <w:b/>
                <w:bCs/>
              </w:rPr>
            </w:pPr>
            <w:r w:rsidRPr="0082089E">
              <w:rPr>
                <w:b/>
                <w:bCs/>
              </w:rPr>
              <w:t>No.</w:t>
            </w:r>
          </w:p>
        </w:tc>
        <w:tc>
          <w:tcPr>
            <w:tcW w:w="586" w:type="pct"/>
            <w:noWrap/>
            <w:vAlign w:val="center"/>
          </w:tcPr>
          <w:p w:rsidR="00B7354F" w:rsidRPr="0082089E" w:rsidRDefault="00B7354F" w:rsidP="00CA0D5E">
            <w:pPr>
              <w:bidi w:val="0"/>
              <w:jc w:val="both"/>
              <w:rPr>
                <w:b/>
                <w:bCs/>
              </w:rPr>
            </w:pPr>
            <w:r w:rsidRPr="0082089E">
              <w:rPr>
                <w:b/>
                <w:bCs/>
              </w:rPr>
              <w:t>%</w:t>
            </w:r>
          </w:p>
        </w:tc>
        <w:tc>
          <w:tcPr>
            <w:tcW w:w="413" w:type="pct"/>
            <w:noWrap/>
            <w:vAlign w:val="center"/>
          </w:tcPr>
          <w:p w:rsidR="00B7354F" w:rsidRPr="0082089E" w:rsidRDefault="00B7354F" w:rsidP="00CA0D5E">
            <w:pPr>
              <w:bidi w:val="0"/>
              <w:jc w:val="both"/>
              <w:rPr>
                <w:b/>
                <w:bCs/>
              </w:rPr>
            </w:pPr>
            <w:r w:rsidRPr="0082089E">
              <w:rPr>
                <w:b/>
                <w:bCs/>
              </w:rPr>
              <w:t>No.</w:t>
            </w:r>
          </w:p>
        </w:tc>
        <w:tc>
          <w:tcPr>
            <w:tcW w:w="590" w:type="pct"/>
            <w:noWrap/>
            <w:vAlign w:val="center"/>
          </w:tcPr>
          <w:p w:rsidR="00B7354F" w:rsidRPr="0082089E" w:rsidRDefault="00B7354F" w:rsidP="00CA0D5E">
            <w:pPr>
              <w:bidi w:val="0"/>
              <w:jc w:val="both"/>
              <w:rPr>
                <w:b/>
                <w:bCs/>
              </w:rPr>
            </w:pPr>
            <w:r w:rsidRPr="0082089E">
              <w:rPr>
                <w:b/>
                <w:bCs/>
              </w:rPr>
              <w:t>%</w:t>
            </w:r>
          </w:p>
        </w:tc>
        <w:tc>
          <w:tcPr>
            <w:tcW w:w="476" w:type="pct"/>
            <w:noWrap/>
            <w:vAlign w:val="center"/>
          </w:tcPr>
          <w:p w:rsidR="00B7354F" w:rsidRPr="0082089E" w:rsidRDefault="00B7354F" w:rsidP="00CA0D5E">
            <w:pPr>
              <w:bidi w:val="0"/>
              <w:jc w:val="both"/>
              <w:rPr>
                <w:b/>
                <w:bCs/>
              </w:rPr>
            </w:pPr>
            <w:r w:rsidRPr="0082089E">
              <w:rPr>
                <w:b/>
                <w:bCs/>
              </w:rPr>
              <w:t>X</w:t>
            </w:r>
            <w:r w:rsidRPr="0082089E">
              <w:rPr>
                <w:b/>
                <w:bCs/>
                <w:vertAlign w:val="superscript"/>
              </w:rPr>
              <w:t>2</w:t>
            </w:r>
          </w:p>
        </w:tc>
        <w:tc>
          <w:tcPr>
            <w:tcW w:w="525" w:type="pct"/>
            <w:noWrap/>
            <w:vAlign w:val="center"/>
          </w:tcPr>
          <w:p w:rsidR="00B7354F" w:rsidRPr="0082089E" w:rsidRDefault="00B7354F" w:rsidP="00CA0D5E">
            <w:pPr>
              <w:bidi w:val="0"/>
              <w:jc w:val="both"/>
              <w:rPr>
                <w:b/>
                <w:bCs/>
              </w:rPr>
            </w:pPr>
            <w:r w:rsidRPr="0082089E">
              <w:rPr>
                <w:b/>
                <w:bCs/>
              </w:rPr>
              <w:t>P-value</w:t>
            </w:r>
          </w:p>
        </w:tc>
      </w:tr>
      <w:tr w:rsidR="00B7354F" w:rsidRPr="0082089E">
        <w:trPr>
          <w:trHeight w:val="694"/>
        </w:trPr>
        <w:tc>
          <w:tcPr>
            <w:tcW w:w="352" w:type="pct"/>
            <w:vMerge w:val="restart"/>
            <w:noWrap/>
            <w:textDirection w:val="btLr"/>
            <w:vAlign w:val="center"/>
          </w:tcPr>
          <w:p w:rsidR="00B7354F" w:rsidRPr="0082089E" w:rsidRDefault="00B7354F" w:rsidP="00CA0D5E">
            <w:pPr>
              <w:bidi w:val="0"/>
              <w:ind w:left="113" w:right="113"/>
              <w:jc w:val="both"/>
            </w:pPr>
            <w:r w:rsidRPr="0082089E">
              <w:t>Right</w:t>
            </w:r>
          </w:p>
        </w:tc>
        <w:tc>
          <w:tcPr>
            <w:tcW w:w="702" w:type="pct"/>
            <w:vMerge w:val="restart"/>
            <w:noWrap/>
            <w:vAlign w:val="center"/>
          </w:tcPr>
          <w:p w:rsidR="00B7354F" w:rsidRPr="0082089E" w:rsidRDefault="00B7354F" w:rsidP="00CA0D5E">
            <w:pPr>
              <w:bidi w:val="0"/>
              <w:jc w:val="both"/>
            </w:pPr>
            <w:r w:rsidRPr="0082089E">
              <w:t>I</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4</w:t>
            </w:r>
          </w:p>
        </w:tc>
        <w:tc>
          <w:tcPr>
            <w:tcW w:w="586" w:type="pct"/>
            <w:noWrap/>
            <w:vAlign w:val="center"/>
          </w:tcPr>
          <w:p w:rsidR="00B7354F" w:rsidRPr="0082089E" w:rsidRDefault="00B7354F" w:rsidP="00CA0D5E">
            <w:pPr>
              <w:bidi w:val="0"/>
              <w:jc w:val="both"/>
            </w:pPr>
            <w:r w:rsidRPr="0082089E">
              <w:t>13.3%</w:t>
            </w:r>
          </w:p>
        </w:tc>
        <w:tc>
          <w:tcPr>
            <w:tcW w:w="413" w:type="pct"/>
            <w:noWrap/>
            <w:vAlign w:val="center"/>
          </w:tcPr>
          <w:p w:rsidR="00B7354F" w:rsidRPr="0082089E" w:rsidRDefault="00B7354F" w:rsidP="00CA0D5E">
            <w:pPr>
              <w:bidi w:val="0"/>
              <w:jc w:val="both"/>
            </w:pPr>
            <w:r w:rsidRPr="0082089E">
              <w:t>21</w:t>
            </w:r>
          </w:p>
        </w:tc>
        <w:tc>
          <w:tcPr>
            <w:tcW w:w="590" w:type="pct"/>
            <w:noWrap/>
            <w:vAlign w:val="center"/>
          </w:tcPr>
          <w:p w:rsidR="00B7354F" w:rsidRPr="0082089E" w:rsidRDefault="00B7354F" w:rsidP="00CA0D5E">
            <w:pPr>
              <w:bidi w:val="0"/>
              <w:jc w:val="both"/>
            </w:pPr>
            <w:r w:rsidRPr="0082089E">
              <w:t>70.0%</w:t>
            </w:r>
          </w:p>
        </w:tc>
        <w:tc>
          <w:tcPr>
            <w:tcW w:w="476" w:type="pct"/>
            <w:vMerge w:val="restart"/>
            <w:noWrap/>
            <w:vAlign w:val="center"/>
          </w:tcPr>
          <w:p w:rsidR="00B7354F" w:rsidRPr="0082089E" w:rsidRDefault="00B7354F" w:rsidP="00CA0D5E">
            <w:pPr>
              <w:bidi w:val="0"/>
              <w:jc w:val="both"/>
            </w:pPr>
            <w:r w:rsidRPr="0082089E">
              <w:t>29.619</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8</w:t>
            </w:r>
          </w:p>
        </w:tc>
        <w:tc>
          <w:tcPr>
            <w:tcW w:w="586" w:type="pct"/>
            <w:noWrap/>
            <w:vAlign w:val="center"/>
          </w:tcPr>
          <w:p w:rsidR="00B7354F" w:rsidRPr="0082089E" w:rsidRDefault="00B7354F" w:rsidP="00CA0D5E">
            <w:pPr>
              <w:bidi w:val="0"/>
              <w:jc w:val="both"/>
            </w:pPr>
            <w:r w:rsidRPr="0082089E">
              <w:t>26.7%</w:t>
            </w:r>
          </w:p>
        </w:tc>
        <w:tc>
          <w:tcPr>
            <w:tcW w:w="413" w:type="pct"/>
            <w:noWrap/>
            <w:vAlign w:val="center"/>
          </w:tcPr>
          <w:p w:rsidR="00B7354F" w:rsidRPr="0082089E" w:rsidRDefault="00B7354F" w:rsidP="00CA0D5E">
            <w:pPr>
              <w:bidi w:val="0"/>
              <w:jc w:val="both"/>
            </w:pPr>
            <w:r w:rsidRPr="0082089E">
              <w:t>9</w:t>
            </w:r>
          </w:p>
        </w:tc>
        <w:tc>
          <w:tcPr>
            <w:tcW w:w="590" w:type="pct"/>
            <w:noWrap/>
            <w:vAlign w:val="center"/>
          </w:tcPr>
          <w:p w:rsidR="00B7354F" w:rsidRPr="0082089E" w:rsidRDefault="00B7354F" w:rsidP="00CA0D5E">
            <w:pPr>
              <w:bidi w:val="0"/>
              <w:jc w:val="both"/>
            </w:pPr>
            <w:r w:rsidRPr="0082089E">
              <w:t>30.0%</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Absent wave</w:t>
            </w:r>
          </w:p>
        </w:tc>
        <w:tc>
          <w:tcPr>
            <w:tcW w:w="418" w:type="pct"/>
            <w:noWrap/>
            <w:vAlign w:val="center"/>
          </w:tcPr>
          <w:p w:rsidR="00B7354F" w:rsidRPr="0082089E" w:rsidRDefault="00B7354F" w:rsidP="00CA0D5E">
            <w:pPr>
              <w:bidi w:val="0"/>
              <w:jc w:val="both"/>
            </w:pPr>
            <w:r w:rsidRPr="0082089E">
              <w:t>18</w:t>
            </w:r>
          </w:p>
        </w:tc>
        <w:tc>
          <w:tcPr>
            <w:tcW w:w="586" w:type="pct"/>
            <w:noWrap/>
            <w:vAlign w:val="center"/>
          </w:tcPr>
          <w:p w:rsidR="00B7354F" w:rsidRPr="0082089E" w:rsidRDefault="00B7354F" w:rsidP="00CA0D5E">
            <w:pPr>
              <w:bidi w:val="0"/>
              <w:jc w:val="both"/>
            </w:pPr>
            <w:r w:rsidRPr="0082089E">
              <w:t>60.0%</w:t>
            </w:r>
          </w:p>
        </w:tc>
        <w:tc>
          <w:tcPr>
            <w:tcW w:w="413" w:type="pct"/>
            <w:noWrap/>
            <w:vAlign w:val="center"/>
          </w:tcPr>
          <w:p w:rsidR="00B7354F" w:rsidRPr="0082089E" w:rsidRDefault="00B7354F" w:rsidP="00CA0D5E">
            <w:pPr>
              <w:bidi w:val="0"/>
              <w:jc w:val="both"/>
            </w:pPr>
            <w:r w:rsidRPr="0082089E">
              <w:t>0</w:t>
            </w:r>
          </w:p>
        </w:tc>
        <w:tc>
          <w:tcPr>
            <w:tcW w:w="590" w:type="pct"/>
            <w:noWrap/>
            <w:vAlign w:val="center"/>
          </w:tcPr>
          <w:p w:rsidR="00B7354F" w:rsidRPr="0082089E" w:rsidRDefault="00B7354F" w:rsidP="00CA0D5E">
            <w:pPr>
              <w:bidi w:val="0"/>
              <w:jc w:val="both"/>
            </w:pPr>
            <w:r w:rsidRPr="0082089E">
              <w:t>0.0%</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restart"/>
            <w:noWrap/>
            <w:vAlign w:val="center"/>
          </w:tcPr>
          <w:p w:rsidR="00B7354F" w:rsidRPr="0082089E" w:rsidRDefault="00B7354F" w:rsidP="00CA0D5E">
            <w:pPr>
              <w:bidi w:val="0"/>
              <w:jc w:val="both"/>
            </w:pPr>
            <w:r w:rsidRPr="0082089E">
              <w:t>III</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4</w:t>
            </w:r>
          </w:p>
        </w:tc>
        <w:tc>
          <w:tcPr>
            <w:tcW w:w="586" w:type="pct"/>
            <w:noWrap/>
            <w:vAlign w:val="center"/>
          </w:tcPr>
          <w:p w:rsidR="00B7354F" w:rsidRPr="0082089E" w:rsidRDefault="00B7354F" w:rsidP="00CA0D5E">
            <w:pPr>
              <w:bidi w:val="0"/>
              <w:jc w:val="both"/>
            </w:pPr>
            <w:r w:rsidRPr="0082089E">
              <w:t>13.3%</w:t>
            </w:r>
          </w:p>
        </w:tc>
        <w:tc>
          <w:tcPr>
            <w:tcW w:w="413" w:type="pct"/>
            <w:noWrap/>
            <w:vAlign w:val="center"/>
          </w:tcPr>
          <w:p w:rsidR="00B7354F" w:rsidRPr="0082089E" w:rsidRDefault="00B7354F" w:rsidP="00CA0D5E">
            <w:pPr>
              <w:bidi w:val="0"/>
              <w:jc w:val="both"/>
            </w:pPr>
            <w:r w:rsidRPr="0082089E">
              <w:t>21</w:t>
            </w:r>
          </w:p>
        </w:tc>
        <w:tc>
          <w:tcPr>
            <w:tcW w:w="590" w:type="pct"/>
            <w:noWrap/>
            <w:vAlign w:val="center"/>
          </w:tcPr>
          <w:p w:rsidR="00B7354F" w:rsidRPr="0082089E" w:rsidRDefault="00B7354F" w:rsidP="00CA0D5E">
            <w:pPr>
              <w:bidi w:val="0"/>
              <w:jc w:val="both"/>
            </w:pPr>
            <w:r w:rsidRPr="0082089E">
              <w:t>70.0 %</w:t>
            </w:r>
          </w:p>
        </w:tc>
        <w:tc>
          <w:tcPr>
            <w:tcW w:w="476" w:type="pct"/>
            <w:vMerge w:val="restart"/>
            <w:noWrap/>
            <w:vAlign w:val="center"/>
          </w:tcPr>
          <w:p w:rsidR="00B7354F" w:rsidRPr="0082089E" w:rsidRDefault="00B7354F" w:rsidP="00CA0D5E">
            <w:pPr>
              <w:bidi w:val="0"/>
              <w:jc w:val="both"/>
            </w:pPr>
            <w:r w:rsidRPr="0082089E">
              <w:t>22.978</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10</w:t>
            </w:r>
          </w:p>
        </w:tc>
        <w:tc>
          <w:tcPr>
            <w:tcW w:w="586" w:type="pct"/>
            <w:noWrap/>
            <w:vAlign w:val="center"/>
          </w:tcPr>
          <w:p w:rsidR="00B7354F" w:rsidRPr="0082089E" w:rsidRDefault="00B7354F" w:rsidP="00CA0D5E">
            <w:pPr>
              <w:bidi w:val="0"/>
              <w:jc w:val="both"/>
            </w:pPr>
            <w:r w:rsidRPr="0082089E">
              <w:t>33.3%</w:t>
            </w:r>
          </w:p>
        </w:tc>
        <w:tc>
          <w:tcPr>
            <w:tcW w:w="413" w:type="pct"/>
            <w:noWrap/>
            <w:vAlign w:val="center"/>
          </w:tcPr>
          <w:p w:rsidR="00B7354F" w:rsidRPr="0082089E" w:rsidRDefault="00B7354F" w:rsidP="00CA0D5E">
            <w:pPr>
              <w:bidi w:val="0"/>
              <w:jc w:val="both"/>
            </w:pPr>
            <w:r w:rsidRPr="0082089E">
              <w:t>7</w:t>
            </w:r>
          </w:p>
        </w:tc>
        <w:tc>
          <w:tcPr>
            <w:tcW w:w="590" w:type="pct"/>
            <w:noWrap/>
            <w:vAlign w:val="center"/>
          </w:tcPr>
          <w:p w:rsidR="00B7354F" w:rsidRPr="0082089E" w:rsidRDefault="00B7354F" w:rsidP="00CA0D5E">
            <w:pPr>
              <w:bidi w:val="0"/>
              <w:jc w:val="both"/>
            </w:pPr>
            <w:r w:rsidRPr="0082089E">
              <w:t>23.3%</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t>Abs</w:t>
            </w:r>
            <w:r w:rsidRPr="0082089E">
              <w:t>ent wave</w:t>
            </w:r>
          </w:p>
        </w:tc>
        <w:tc>
          <w:tcPr>
            <w:tcW w:w="418" w:type="pct"/>
            <w:noWrap/>
            <w:vAlign w:val="center"/>
          </w:tcPr>
          <w:p w:rsidR="00B7354F" w:rsidRPr="0082089E" w:rsidRDefault="00B7354F" w:rsidP="00CA0D5E">
            <w:pPr>
              <w:bidi w:val="0"/>
              <w:jc w:val="both"/>
            </w:pPr>
            <w:r w:rsidRPr="0082089E">
              <w:t>16</w:t>
            </w:r>
          </w:p>
        </w:tc>
        <w:tc>
          <w:tcPr>
            <w:tcW w:w="586" w:type="pct"/>
            <w:noWrap/>
            <w:vAlign w:val="center"/>
          </w:tcPr>
          <w:p w:rsidR="00B7354F" w:rsidRPr="0082089E" w:rsidRDefault="00B7354F" w:rsidP="00CA0D5E">
            <w:pPr>
              <w:bidi w:val="0"/>
              <w:jc w:val="both"/>
            </w:pPr>
            <w:r w:rsidRPr="0082089E">
              <w:t>53.3%</w:t>
            </w:r>
          </w:p>
        </w:tc>
        <w:tc>
          <w:tcPr>
            <w:tcW w:w="413" w:type="pct"/>
            <w:noWrap/>
            <w:vAlign w:val="center"/>
          </w:tcPr>
          <w:p w:rsidR="00B7354F" w:rsidRPr="0082089E" w:rsidRDefault="00B7354F" w:rsidP="00CA0D5E">
            <w:pPr>
              <w:bidi w:val="0"/>
              <w:jc w:val="both"/>
            </w:pPr>
            <w:r w:rsidRPr="0082089E">
              <w:t>2</w:t>
            </w:r>
          </w:p>
        </w:tc>
        <w:tc>
          <w:tcPr>
            <w:tcW w:w="590" w:type="pct"/>
            <w:noWrap/>
            <w:vAlign w:val="center"/>
          </w:tcPr>
          <w:p w:rsidR="00B7354F" w:rsidRPr="0082089E" w:rsidRDefault="00B7354F" w:rsidP="00CA0D5E">
            <w:pPr>
              <w:bidi w:val="0"/>
              <w:jc w:val="both"/>
            </w:pPr>
            <w:r w:rsidRPr="0082089E">
              <w:t>6.7%</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restart"/>
            <w:noWrap/>
            <w:vAlign w:val="center"/>
          </w:tcPr>
          <w:p w:rsidR="00B7354F" w:rsidRPr="0082089E" w:rsidRDefault="00B7354F" w:rsidP="00CA0D5E">
            <w:pPr>
              <w:bidi w:val="0"/>
              <w:jc w:val="both"/>
            </w:pPr>
            <w:r w:rsidRPr="0082089E">
              <w:t>V</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3</w:t>
            </w:r>
          </w:p>
        </w:tc>
        <w:tc>
          <w:tcPr>
            <w:tcW w:w="586" w:type="pct"/>
            <w:noWrap/>
            <w:vAlign w:val="center"/>
          </w:tcPr>
          <w:p w:rsidR="00B7354F" w:rsidRPr="0082089E" w:rsidRDefault="00B7354F" w:rsidP="00CA0D5E">
            <w:pPr>
              <w:bidi w:val="0"/>
              <w:jc w:val="both"/>
            </w:pPr>
            <w:r w:rsidRPr="0082089E">
              <w:t>10.0%</w:t>
            </w:r>
          </w:p>
        </w:tc>
        <w:tc>
          <w:tcPr>
            <w:tcW w:w="413" w:type="pct"/>
            <w:noWrap/>
            <w:vAlign w:val="center"/>
          </w:tcPr>
          <w:p w:rsidR="00B7354F" w:rsidRPr="0082089E" w:rsidRDefault="00B7354F" w:rsidP="00CA0D5E">
            <w:pPr>
              <w:bidi w:val="0"/>
              <w:jc w:val="both"/>
            </w:pPr>
            <w:r w:rsidRPr="0082089E">
              <w:t>19</w:t>
            </w:r>
          </w:p>
        </w:tc>
        <w:tc>
          <w:tcPr>
            <w:tcW w:w="590" w:type="pct"/>
            <w:noWrap/>
            <w:vAlign w:val="center"/>
          </w:tcPr>
          <w:p w:rsidR="00B7354F" w:rsidRPr="0082089E" w:rsidRDefault="00B7354F" w:rsidP="00CA0D5E">
            <w:pPr>
              <w:bidi w:val="0"/>
              <w:jc w:val="both"/>
            </w:pPr>
            <w:r w:rsidRPr="0082089E">
              <w:t>63.3%</w:t>
            </w:r>
          </w:p>
        </w:tc>
        <w:tc>
          <w:tcPr>
            <w:tcW w:w="476" w:type="pct"/>
            <w:vMerge w:val="restart"/>
            <w:noWrap/>
            <w:vAlign w:val="center"/>
          </w:tcPr>
          <w:p w:rsidR="00B7354F" w:rsidRPr="0082089E" w:rsidRDefault="00B7354F" w:rsidP="00CA0D5E">
            <w:pPr>
              <w:bidi w:val="0"/>
              <w:jc w:val="both"/>
            </w:pPr>
            <w:r w:rsidRPr="0082089E">
              <w:t>24.252</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15</w:t>
            </w:r>
          </w:p>
        </w:tc>
        <w:tc>
          <w:tcPr>
            <w:tcW w:w="586" w:type="pct"/>
            <w:noWrap/>
            <w:vAlign w:val="center"/>
          </w:tcPr>
          <w:p w:rsidR="00B7354F" w:rsidRPr="0082089E" w:rsidRDefault="00B7354F" w:rsidP="00CA0D5E">
            <w:pPr>
              <w:bidi w:val="0"/>
              <w:jc w:val="both"/>
            </w:pPr>
            <w:r w:rsidRPr="0082089E">
              <w:t>50.0%</w:t>
            </w:r>
          </w:p>
        </w:tc>
        <w:tc>
          <w:tcPr>
            <w:tcW w:w="413" w:type="pct"/>
            <w:noWrap/>
            <w:vAlign w:val="center"/>
          </w:tcPr>
          <w:p w:rsidR="00B7354F" w:rsidRPr="0082089E" w:rsidRDefault="00B7354F" w:rsidP="00CA0D5E">
            <w:pPr>
              <w:bidi w:val="0"/>
              <w:jc w:val="both"/>
            </w:pPr>
            <w:r w:rsidRPr="0082089E">
              <w:t>11</w:t>
            </w:r>
          </w:p>
        </w:tc>
        <w:tc>
          <w:tcPr>
            <w:tcW w:w="590" w:type="pct"/>
            <w:noWrap/>
            <w:vAlign w:val="center"/>
          </w:tcPr>
          <w:p w:rsidR="00B7354F" w:rsidRPr="0082089E" w:rsidRDefault="00B7354F" w:rsidP="00CA0D5E">
            <w:pPr>
              <w:bidi w:val="0"/>
              <w:jc w:val="both"/>
            </w:pPr>
            <w:r w:rsidRPr="0082089E">
              <w:t>36.7%</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t>Abs</w:t>
            </w:r>
            <w:r w:rsidRPr="0082089E">
              <w:t>ent wave</w:t>
            </w:r>
          </w:p>
        </w:tc>
        <w:tc>
          <w:tcPr>
            <w:tcW w:w="418" w:type="pct"/>
            <w:noWrap/>
            <w:vAlign w:val="center"/>
          </w:tcPr>
          <w:p w:rsidR="00B7354F" w:rsidRPr="0082089E" w:rsidRDefault="00B7354F" w:rsidP="00CA0D5E">
            <w:pPr>
              <w:bidi w:val="0"/>
              <w:jc w:val="both"/>
            </w:pPr>
            <w:r w:rsidRPr="0082089E">
              <w:t>12</w:t>
            </w:r>
          </w:p>
        </w:tc>
        <w:tc>
          <w:tcPr>
            <w:tcW w:w="586" w:type="pct"/>
            <w:noWrap/>
            <w:vAlign w:val="center"/>
          </w:tcPr>
          <w:p w:rsidR="00B7354F" w:rsidRPr="0082089E" w:rsidRDefault="00B7354F" w:rsidP="00CA0D5E">
            <w:pPr>
              <w:bidi w:val="0"/>
              <w:jc w:val="both"/>
            </w:pPr>
            <w:r w:rsidRPr="0082089E">
              <w:t>40.0%</w:t>
            </w:r>
          </w:p>
        </w:tc>
        <w:tc>
          <w:tcPr>
            <w:tcW w:w="413" w:type="pct"/>
            <w:noWrap/>
            <w:vAlign w:val="center"/>
          </w:tcPr>
          <w:p w:rsidR="00B7354F" w:rsidRPr="0082089E" w:rsidRDefault="00B7354F" w:rsidP="00CA0D5E">
            <w:pPr>
              <w:bidi w:val="0"/>
              <w:jc w:val="both"/>
            </w:pPr>
            <w:r w:rsidRPr="0082089E">
              <w:t>0</w:t>
            </w:r>
          </w:p>
        </w:tc>
        <w:tc>
          <w:tcPr>
            <w:tcW w:w="590" w:type="pct"/>
            <w:noWrap/>
            <w:vAlign w:val="center"/>
          </w:tcPr>
          <w:p w:rsidR="00B7354F" w:rsidRPr="0082089E" w:rsidRDefault="00B7354F" w:rsidP="00CA0D5E">
            <w:pPr>
              <w:bidi w:val="0"/>
              <w:jc w:val="both"/>
            </w:pPr>
            <w:r w:rsidRPr="0082089E">
              <w:t>0.0%</w:t>
            </w:r>
            <w:bookmarkStart w:id="0" w:name="_GoBack"/>
            <w:bookmarkEnd w:id="0"/>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restart"/>
            <w:noWrap/>
            <w:vAlign w:val="center"/>
          </w:tcPr>
          <w:p w:rsidR="00B7354F" w:rsidRPr="0082089E" w:rsidRDefault="00B7354F" w:rsidP="00CA0D5E">
            <w:pPr>
              <w:bidi w:val="0"/>
              <w:jc w:val="both"/>
            </w:pPr>
            <w:r w:rsidRPr="0082089E">
              <w:t>V at 40 dB</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3</w:t>
            </w:r>
          </w:p>
        </w:tc>
        <w:tc>
          <w:tcPr>
            <w:tcW w:w="586" w:type="pct"/>
            <w:noWrap/>
            <w:vAlign w:val="center"/>
          </w:tcPr>
          <w:p w:rsidR="00B7354F" w:rsidRPr="0082089E" w:rsidRDefault="00B7354F" w:rsidP="00CA0D5E">
            <w:pPr>
              <w:bidi w:val="0"/>
              <w:jc w:val="both"/>
            </w:pPr>
            <w:r w:rsidRPr="0082089E">
              <w:t>10.0%</w:t>
            </w:r>
          </w:p>
        </w:tc>
        <w:tc>
          <w:tcPr>
            <w:tcW w:w="413" w:type="pct"/>
            <w:noWrap/>
            <w:vAlign w:val="center"/>
          </w:tcPr>
          <w:p w:rsidR="00B7354F" w:rsidRPr="0082089E" w:rsidRDefault="00B7354F" w:rsidP="00CA0D5E">
            <w:pPr>
              <w:bidi w:val="0"/>
              <w:jc w:val="both"/>
            </w:pPr>
            <w:r w:rsidRPr="0082089E">
              <w:t>14</w:t>
            </w:r>
          </w:p>
        </w:tc>
        <w:tc>
          <w:tcPr>
            <w:tcW w:w="590" w:type="pct"/>
            <w:noWrap/>
            <w:vAlign w:val="center"/>
          </w:tcPr>
          <w:p w:rsidR="00B7354F" w:rsidRPr="0082089E" w:rsidRDefault="00B7354F" w:rsidP="00CA0D5E">
            <w:pPr>
              <w:bidi w:val="0"/>
              <w:jc w:val="both"/>
            </w:pPr>
            <w:r w:rsidRPr="0082089E">
              <w:t>46.7%</w:t>
            </w:r>
          </w:p>
        </w:tc>
        <w:tc>
          <w:tcPr>
            <w:tcW w:w="476" w:type="pct"/>
            <w:vMerge w:val="restart"/>
            <w:noWrap/>
            <w:vAlign w:val="center"/>
          </w:tcPr>
          <w:p w:rsidR="00B7354F" w:rsidRPr="0082089E" w:rsidRDefault="00B7354F" w:rsidP="00CA0D5E">
            <w:pPr>
              <w:bidi w:val="0"/>
              <w:jc w:val="both"/>
            </w:pPr>
            <w:r w:rsidRPr="0082089E">
              <w:t>21.687</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3</w:t>
            </w:r>
          </w:p>
        </w:tc>
        <w:tc>
          <w:tcPr>
            <w:tcW w:w="586" w:type="pct"/>
            <w:noWrap/>
            <w:vAlign w:val="center"/>
          </w:tcPr>
          <w:p w:rsidR="00B7354F" w:rsidRPr="0082089E" w:rsidRDefault="00B7354F" w:rsidP="00CA0D5E">
            <w:pPr>
              <w:bidi w:val="0"/>
              <w:jc w:val="both"/>
            </w:pPr>
            <w:r w:rsidRPr="0082089E">
              <w:t>10.0%</w:t>
            </w:r>
          </w:p>
        </w:tc>
        <w:tc>
          <w:tcPr>
            <w:tcW w:w="413" w:type="pct"/>
            <w:noWrap/>
            <w:vAlign w:val="center"/>
          </w:tcPr>
          <w:p w:rsidR="00B7354F" w:rsidRPr="0082089E" w:rsidRDefault="00B7354F" w:rsidP="00CA0D5E">
            <w:pPr>
              <w:bidi w:val="0"/>
              <w:jc w:val="both"/>
            </w:pPr>
            <w:r w:rsidRPr="0082089E">
              <w:t>10</w:t>
            </w:r>
          </w:p>
        </w:tc>
        <w:tc>
          <w:tcPr>
            <w:tcW w:w="590" w:type="pct"/>
            <w:noWrap/>
            <w:vAlign w:val="center"/>
          </w:tcPr>
          <w:p w:rsidR="00B7354F" w:rsidRPr="0082089E" w:rsidRDefault="00B7354F" w:rsidP="00CA0D5E">
            <w:pPr>
              <w:bidi w:val="0"/>
              <w:jc w:val="both"/>
            </w:pPr>
            <w:r w:rsidRPr="0082089E">
              <w:t>33.3%</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extDirection w:val="btLr"/>
            <w:vAlign w:val="center"/>
          </w:tcPr>
          <w:p w:rsidR="00B7354F" w:rsidRPr="0082089E" w:rsidRDefault="00B7354F" w:rsidP="00CA0D5E">
            <w:pPr>
              <w:bidi w:val="0"/>
              <w:ind w:left="113" w:right="113"/>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t>Abs</w:t>
            </w:r>
            <w:r w:rsidRPr="0082089E">
              <w:t>ent wave</w:t>
            </w:r>
          </w:p>
        </w:tc>
        <w:tc>
          <w:tcPr>
            <w:tcW w:w="418" w:type="pct"/>
            <w:noWrap/>
            <w:vAlign w:val="center"/>
          </w:tcPr>
          <w:p w:rsidR="00B7354F" w:rsidRPr="0082089E" w:rsidRDefault="00B7354F" w:rsidP="00CA0D5E">
            <w:pPr>
              <w:bidi w:val="0"/>
              <w:jc w:val="both"/>
            </w:pPr>
            <w:r w:rsidRPr="0082089E">
              <w:t>24</w:t>
            </w:r>
          </w:p>
        </w:tc>
        <w:tc>
          <w:tcPr>
            <w:tcW w:w="586" w:type="pct"/>
            <w:noWrap/>
            <w:vAlign w:val="center"/>
          </w:tcPr>
          <w:p w:rsidR="00B7354F" w:rsidRPr="0082089E" w:rsidRDefault="00B7354F" w:rsidP="00CA0D5E">
            <w:pPr>
              <w:bidi w:val="0"/>
              <w:jc w:val="both"/>
            </w:pPr>
            <w:r w:rsidRPr="0082089E">
              <w:t>80.0%</w:t>
            </w:r>
          </w:p>
        </w:tc>
        <w:tc>
          <w:tcPr>
            <w:tcW w:w="413" w:type="pct"/>
            <w:noWrap/>
            <w:vAlign w:val="center"/>
          </w:tcPr>
          <w:p w:rsidR="00B7354F" w:rsidRPr="0082089E" w:rsidRDefault="00B7354F" w:rsidP="00CA0D5E">
            <w:pPr>
              <w:bidi w:val="0"/>
              <w:jc w:val="both"/>
            </w:pPr>
            <w:r w:rsidRPr="0082089E">
              <w:t>6</w:t>
            </w:r>
          </w:p>
        </w:tc>
        <w:tc>
          <w:tcPr>
            <w:tcW w:w="590" w:type="pct"/>
            <w:noWrap/>
            <w:vAlign w:val="center"/>
          </w:tcPr>
          <w:p w:rsidR="00B7354F" w:rsidRPr="0082089E" w:rsidRDefault="00B7354F" w:rsidP="00CA0D5E">
            <w:pPr>
              <w:bidi w:val="0"/>
              <w:jc w:val="both"/>
            </w:pPr>
            <w:r w:rsidRPr="0082089E">
              <w:t>20.%</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694"/>
        </w:trPr>
        <w:tc>
          <w:tcPr>
            <w:tcW w:w="352" w:type="pct"/>
            <w:vMerge w:val="restart"/>
            <w:noWrap/>
            <w:textDirection w:val="btLr"/>
            <w:vAlign w:val="center"/>
          </w:tcPr>
          <w:p w:rsidR="00B7354F" w:rsidRPr="0082089E" w:rsidRDefault="00B7354F" w:rsidP="00CA0D5E">
            <w:pPr>
              <w:bidi w:val="0"/>
              <w:ind w:left="113" w:right="113"/>
              <w:jc w:val="both"/>
            </w:pPr>
            <w:r w:rsidRPr="0082089E">
              <w:t>Left</w:t>
            </w:r>
          </w:p>
        </w:tc>
        <w:tc>
          <w:tcPr>
            <w:tcW w:w="702" w:type="pct"/>
            <w:vMerge w:val="restart"/>
            <w:noWrap/>
            <w:vAlign w:val="center"/>
          </w:tcPr>
          <w:p w:rsidR="00B7354F" w:rsidRPr="0082089E" w:rsidRDefault="00B7354F" w:rsidP="00CA0D5E">
            <w:pPr>
              <w:bidi w:val="0"/>
              <w:jc w:val="both"/>
            </w:pPr>
            <w:r w:rsidRPr="0082089E">
              <w:t>I</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4</w:t>
            </w:r>
          </w:p>
        </w:tc>
        <w:tc>
          <w:tcPr>
            <w:tcW w:w="586" w:type="pct"/>
            <w:noWrap/>
            <w:vAlign w:val="center"/>
          </w:tcPr>
          <w:p w:rsidR="00B7354F" w:rsidRPr="0082089E" w:rsidRDefault="00B7354F" w:rsidP="00CA0D5E">
            <w:pPr>
              <w:bidi w:val="0"/>
              <w:jc w:val="both"/>
            </w:pPr>
            <w:r w:rsidRPr="0082089E">
              <w:t>13.3%</w:t>
            </w:r>
          </w:p>
        </w:tc>
        <w:tc>
          <w:tcPr>
            <w:tcW w:w="413" w:type="pct"/>
            <w:noWrap/>
            <w:vAlign w:val="center"/>
          </w:tcPr>
          <w:p w:rsidR="00B7354F" w:rsidRPr="0082089E" w:rsidRDefault="00B7354F" w:rsidP="00CA0D5E">
            <w:pPr>
              <w:bidi w:val="0"/>
              <w:jc w:val="both"/>
            </w:pPr>
            <w:r w:rsidRPr="0082089E">
              <w:t>21</w:t>
            </w:r>
          </w:p>
        </w:tc>
        <w:tc>
          <w:tcPr>
            <w:tcW w:w="590" w:type="pct"/>
            <w:noWrap/>
            <w:vAlign w:val="center"/>
          </w:tcPr>
          <w:p w:rsidR="00B7354F" w:rsidRPr="0082089E" w:rsidRDefault="00B7354F" w:rsidP="00CA0D5E">
            <w:pPr>
              <w:bidi w:val="0"/>
              <w:jc w:val="both"/>
            </w:pPr>
            <w:r w:rsidRPr="0082089E">
              <w:t>70.0%</w:t>
            </w:r>
          </w:p>
        </w:tc>
        <w:tc>
          <w:tcPr>
            <w:tcW w:w="476" w:type="pct"/>
            <w:vMerge w:val="restart"/>
            <w:noWrap/>
            <w:vAlign w:val="center"/>
          </w:tcPr>
          <w:p w:rsidR="00B7354F" w:rsidRPr="0082089E" w:rsidRDefault="00B7354F" w:rsidP="00CA0D5E">
            <w:pPr>
              <w:bidi w:val="0"/>
              <w:jc w:val="both"/>
            </w:pPr>
            <w:r w:rsidRPr="0082089E">
              <w:t>24.647</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14</w:t>
            </w:r>
          </w:p>
        </w:tc>
        <w:tc>
          <w:tcPr>
            <w:tcW w:w="586" w:type="pct"/>
            <w:noWrap/>
            <w:vAlign w:val="center"/>
          </w:tcPr>
          <w:p w:rsidR="00B7354F" w:rsidRPr="0082089E" w:rsidRDefault="00B7354F" w:rsidP="00CA0D5E">
            <w:pPr>
              <w:bidi w:val="0"/>
              <w:jc w:val="both"/>
            </w:pPr>
            <w:r w:rsidRPr="0082089E">
              <w:t>46.7%</w:t>
            </w:r>
          </w:p>
        </w:tc>
        <w:tc>
          <w:tcPr>
            <w:tcW w:w="413" w:type="pct"/>
            <w:noWrap/>
            <w:vAlign w:val="center"/>
          </w:tcPr>
          <w:p w:rsidR="00B7354F" w:rsidRPr="0082089E" w:rsidRDefault="00B7354F" w:rsidP="00CA0D5E">
            <w:pPr>
              <w:bidi w:val="0"/>
              <w:jc w:val="both"/>
            </w:pPr>
            <w:r w:rsidRPr="0082089E">
              <w:t>9</w:t>
            </w:r>
          </w:p>
        </w:tc>
        <w:tc>
          <w:tcPr>
            <w:tcW w:w="590" w:type="pct"/>
            <w:noWrap/>
            <w:vAlign w:val="center"/>
          </w:tcPr>
          <w:p w:rsidR="00B7354F" w:rsidRPr="0082089E" w:rsidRDefault="00B7354F" w:rsidP="00CA0D5E">
            <w:pPr>
              <w:bidi w:val="0"/>
              <w:jc w:val="both"/>
            </w:pPr>
            <w:r w:rsidRPr="0082089E">
              <w:t>30.0%</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t>Abs</w:t>
            </w:r>
            <w:r w:rsidRPr="0082089E">
              <w:t>ent wave</w:t>
            </w:r>
          </w:p>
        </w:tc>
        <w:tc>
          <w:tcPr>
            <w:tcW w:w="418" w:type="pct"/>
            <w:noWrap/>
            <w:vAlign w:val="center"/>
          </w:tcPr>
          <w:p w:rsidR="00B7354F" w:rsidRPr="0082089E" w:rsidRDefault="00B7354F" w:rsidP="00CA0D5E">
            <w:pPr>
              <w:bidi w:val="0"/>
              <w:jc w:val="both"/>
            </w:pPr>
            <w:r w:rsidRPr="0082089E">
              <w:t>12</w:t>
            </w:r>
          </w:p>
        </w:tc>
        <w:tc>
          <w:tcPr>
            <w:tcW w:w="586" w:type="pct"/>
            <w:noWrap/>
            <w:vAlign w:val="center"/>
          </w:tcPr>
          <w:p w:rsidR="00B7354F" w:rsidRPr="0082089E" w:rsidRDefault="00B7354F" w:rsidP="00CA0D5E">
            <w:pPr>
              <w:bidi w:val="0"/>
              <w:jc w:val="both"/>
            </w:pPr>
            <w:r w:rsidRPr="0082089E">
              <w:t>40.0%</w:t>
            </w:r>
          </w:p>
        </w:tc>
        <w:tc>
          <w:tcPr>
            <w:tcW w:w="413" w:type="pct"/>
            <w:noWrap/>
            <w:vAlign w:val="center"/>
          </w:tcPr>
          <w:p w:rsidR="00B7354F" w:rsidRPr="0082089E" w:rsidRDefault="00B7354F" w:rsidP="00CA0D5E">
            <w:pPr>
              <w:bidi w:val="0"/>
              <w:jc w:val="both"/>
            </w:pPr>
            <w:r w:rsidRPr="0082089E">
              <w:t>0</w:t>
            </w:r>
          </w:p>
        </w:tc>
        <w:tc>
          <w:tcPr>
            <w:tcW w:w="590" w:type="pct"/>
            <w:noWrap/>
            <w:vAlign w:val="center"/>
          </w:tcPr>
          <w:p w:rsidR="00B7354F" w:rsidRPr="0082089E" w:rsidRDefault="00B7354F" w:rsidP="00CA0D5E">
            <w:pPr>
              <w:bidi w:val="0"/>
              <w:jc w:val="both"/>
            </w:pPr>
            <w:r w:rsidRPr="0082089E">
              <w:t>0.0%</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restart"/>
            <w:noWrap/>
            <w:vAlign w:val="center"/>
          </w:tcPr>
          <w:p w:rsidR="00B7354F" w:rsidRPr="0082089E" w:rsidRDefault="00B7354F" w:rsidP="00CA0D5E">
            <w:pPr>
              <w:bidi w:val="0"/>
              <w:jc w:val="both"/>
            </w:pPr>
            <w:r w:rsidRPr="0082089E">
              <w:t>III</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3</w:t>
            </w:r>
          </w:p>
        </w:tc>
        <w:tc>
          <w:tcPr>
            <w:tcW w:w="586" w:type="pct"/>
            <w:noWrap/>
            <w:vAlign w:val="center"/>
          </w:tcPr>
          <w:p w:rsidR="00B7354F" w:rsidRPr="0082089E" w:rsidRDefault="00B7354F" w:rsidP="00CA0D5E">
            <w:pPr>
              <w:bidi w:val="0"/>
              <w:jc w:val="both"/>
            </w:pPr>
            <w:r w:rsidRPr="0082089E">
              <w:t>10.0%</w:t>
            </w:r>
          </w:p>
        </w:tc>
        <w:tc>
          <w:tcPr>
            <w:tcW w:w="413" w:type="pct"/>
            <w:noWrap/>
            <w:vAlign w:val="center"/>
          </w:tcPr>
          <w:p w:rsidR="00B7354F" w:rsidRPr="0082089E" w:rsidRDefault="00B7354F" w:rsidP="00CA0D5E">
            <w:pPr>
              <w:bidi w:val="0"/>
              <w:jc w:val="both"/>
            </w:pPr>
            <w:r w:rsidRPr="0082089E">
              <w:t>21</w:t>
            </w:r>
          </w:p>
        </w:tc>
        <w:tc>
          <w:tcPr>
            <w:tcW w:w="590" w:type="pct"/>
            <w:noWrap/>
            <w:vAlign w:val="center"/>
          </w:tcPr>
          <w:p w:rsidR="00B7354F" w:rsidRPr="0082089E" w:rsidRDefault="00B7354F" w:rsidP="00CA0D5E">
            <w:pPr>
              <w:bidi w:val="0"/>
              <w:jc w:val="both"/>
            </w:pPr>
            <w:r w:rsidRPr="0082089E">
              <w:t>70.0%</w:t>
            </w:r>
          </w:p>
        </w:tc>
        <w:tc>
          <w:tcPr>
            <w:tcW w:w="476" w:type="pct"/>
            <w:vMerge w:val="restart"/>
            <w:noWrap/>
            <w:vAlign w:val="center"/>
          </w:tcPr>
          <w:p w:rsidR="00B7354F" w:rsidRPr="0082089E" w:rsidRDefault="00B7354F" w:rsidP="00CA0D5E">
            <w:pPr>
              <w:bidi w:val="0"/>
              <w:jc w:val="both"/>
            </w:pPr>
            <w:r w:rsidRPr="0082089E">
              <w:t>27.944</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10</w:t>
            </w:r>
          </w:p>
        </w:tc>
        <w:tc>
          <w:tcPr>
            <w:tcW w:w="586" w:type="pct"/>
            <w:noWrap/>
            <w:vAlign w:val="center"/>
          </w:tcPr>
          <w:p w:rsidR="00B7354F" w:rsidRPr="0082089E" w:rsidRDefault="00B7354F" w:rsidP="00CA0D5E">
            <w:pPr>
              <w:bidi w:val="0"/>
              <w:jc w:val="both"/>
            </w:pPr>
            <w:r w:rsidRPr="0082089E">
              <w:t>33.3%</w:t>
            </w:r>
          </w:p>
        </w:tc>
        <w:tc>
          <w:tcPr>
            <w:tcW w:w="413" w:type="pct"/>
            <w:noWrap/>
            <w:vAlign w:val="center"/>
          </w:tcPr>
          <w:p w:rsidR="00B7354F" w:rsidRPr="0082089E" w:rsidRDefault="00B7354F" w:rsidP="00CA0D5E">
            <w:pPr>
              <w:bidi w:val="0"/>
              <w:jc w:val="both"/>
            </w:pPr>
            <w:r w:rsidRPr="0082089E">
              <w:t>8</w:t>
            </w:r>
          </w:p>
        </w:tc>
        <w:tc>
          <w:tcPr>
            <w:tcW w:w="590" w:type="pct"/>
            <w:noWrap/>
            <w:vAlign w:val="center"/>
          </w:tcPr>
          <w:p w:rsidR="00B7354F" w:rsidRPr="0082089E" w:rsidRDefault="00B7354F" w:rsidP="00CA0D5E">
            <w:pPr>
              <w:bidi w:val="0"/>
              <w:jc w:val="both"/>
            </w:pPr>
            <w:r w:rsidRPr="0082089E">
              <w:t>26.7%</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t>Abs</w:t>
            </w:r>
            <w:r w:rsidRPr="0082089E">
              <w:t>ent wave</w:t>
            </w:r>
          </w:p>
        </w:tc>
        <w:tc>
          <w:tcPr>
            <w:tcW w:w="418" w:type="pct"/>
            <w:noWrap/>
            <w:vAlign w:val="center"/>
          </w:tcPr>
          <w:p w:rsidR="00B7354F" w:rsidRPr="0082089E" w:rsidRDefault="00B7354F" w:rsidP="00CA0D5E">
            <w:pPr>
              <w:bidi w:val="0"/>
              <w:jc w:val="both"/>
            </w:pPr>
            <w:r w:rsidRPr="0082089E">
              <w:t>17</w:t>
            </w:r>
          </w:p>
        </w:tc>
        <w:tc>
          <w:tcPr>
            <w:tcW w:w="586" w:type="pct"/>
            <w:noWrap/>
            <w:vAlign w:val="center"/>
          </w:tcPr>
          <w:p w:rsidR="00B7354F" w:rsidRPr="0082089E" w:rsidRDefault="00B7354F" w:rsidP="00CA0D5E">
            <w:pPr>
              <w:bidi w:val="0"/>
              <w:jc w:val="both"/>
            </w:pPr>
            <w:r w:rsidRPr="0082089E">
              <w:t>56.7%</w:t>
            </w:r>
          </w:p>
        </w:tc>
        <w:tc>
          <w:tcPr>
            <w:tcW w:w="413" w:type="pct"/>
            <w:noWrap/>
            <w:vAlign w:val="center"/>
          </w:tcPr>
          <w:p w:rsidR="00B7354F" w:rsidRPr="0082089E" w:rsidRDefault="00B7354F" w:rsidP="00CA0D5E">
            <w:pPr>
              <w:bidi w:val="0"/>
              <w:jc w:val="both"/>
            </w:pPr>
            <w:r w:rsidRPr="0082089E">
              <w:t>1</w:t>
            </w:r>
          </w:p>
        </w:tc>
        <w:tc>
          <w:tcPr>
            <w:tcW w:w="590" w:type="pct"/>
            <w:noWrap/>
            <w:vAlign w:val="center"/>
          </w:tcPr>
          <w:p w:rsidR="00B7354F" w:rsidRPr="0082089E" w:rsidRDefault="00B7354F" w:rsidP="00CA0D5E">
            <w:pPr>
              <w:bidi w:val="0"/>
              <w:jc w:val="both"/>
            </w:pPr>
            <w:r w:rsidRPr="0082089E">
              <w:t>3.3%</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restart"/>
            <w:noWrap/>
            <w:vAlign w:val="center"/>
          </w:tcPr>
          <w:p w:rsidR="00B7354F" w:rsidRPr="0082089E" w:rsidRDefault="00B7354F" w:rsidP="00CA0D5E">
            <w:pPr>
              <w:bidi w:val="0"/>
              <w:jc w:val="both"/>
            </w:pPr>
            <w:r w:rsidRPr="0082089E">
              <w:t>V</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4</w:t>
            </w:r>
          </w:p>
        </w:tc>
        <w:tc>
          <w:tcPr>
            <w:tcW w:w="586" w:type="pct"/>
            <w:noWrap/>
            <w:vAlign w:val="center"/>
          </w:tcPr>
          <w:p w:rsidR="00B7354F" w:rsidRPr="0082089E" w:rsidRDefault="00B7354F" w:rsidP="00CA0D5E">
            <w:pPr>
              <w:bidi w:val="0"/>
              <w:jc w:val="both"/>
            </w:pPr>
            <w:r w:rsidRPr="0082089E">
              <w:t>13.3%</w:t>
            </w:r>
          </w:p>
        </w:tc>
        <w:tc>
          <w:tcPr>
            <w:tcW w:w="413" w:type="pct"/>
            <w:noWrap/>
            <w:vAlign w:val="center"/>
          </w:tcPr>
          <w:p w:rsidR="00B7354F" w:rsidRPr="0082089E" w:rsidRDefault="00B7354F" w:rsidP="00CA0D5E">
            <w:pPr>
              <w:bidi w:val="0"/>
              <w:jc w:val="both"/>
            </w:pPr>
            <w:r w:rsidRPr="0082089E">
              <w:t>23</w:t>
            </w:r>
          </w:p>
        </w:tc>
        <w:tc>
          <w:tcPr>
            <w:tcW w:w="590" w:type="pct"/>
            <w:noWrap/>
            <w:vAlign w:val="center"/>
          </w:tcPr>
          <w:p w:rsidR="00B7354F" w:rsidRPr="0082089E" w:rsidRDefault="00B7354F" w:rsidP="00CA0D5E">
            <w:pPr>
              <w:bidi w:val="0"/>
              <w:jc w:val="both"/>
            </w:pPr>
            <w:r w:rsidRPr="0082089E">
              <w:t>76.7%</w:t>
            </w:r>
          </w:p>
        </w:tc>
        <w:tc>
          <w:tcPr>
            <w:tcW w:w="476" w:type="pct"/>
            <w:vMerge w:val="restart"/>
            <w:noWrap/>
            <w:vAlign w:val="center"/>
          </w:tcPr>
          <w:p w:rsidR="00B7354F" w:rsidRPr="0082089E" w:rsidRDefault="00B7354F" w:rsidP="00CA0D5E">
            <w:pPr>
              <w:bidi w:val="0"/>
              <w:jc w:val="both"/>
            </w:pPr>
            <w:r w:rsidRPr="0082089E">
              <w:t>26.892</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16</w:t>
            </w:r>
          </w:p>
        </w:tc>
        <w:tc>
          <w:tcPr>
            <w:tcW w:w="586" w:type="pct"/>
            <w:noWrap/>
            <w:vAlign w:val="center"/>
          </w:tcPr>
          <w:p w:rsidR="00B7354F" w:rsidRPr="0082089E" w:rsidRDefault="00B7354F" w:rsidP="00CA0D5E">
            <w:pPr>
              <w:bidi w:val="0"/>
              <w:jc w:val="both"/>
            </w:pPr>
            <w:r w:rsidRPr="0082089E">
              <w:t>53.3%</w:t>
            </w:r>
          </w:p>
        </w:tc>
        <w:tc>
          <w:tcPr>
            <w:tcW w:w="413" w:type="pct"/>
            <w:noWrap/>
            <w:vAlign w:val="center"/>
          </w:tcPr>
          <w:p w:rsidR="00B7354F" w:rsidRPr="0082089E" w:rsidRDefault="00B7354F" w:rsidP="00CA0D5E">
            <w:pPr>
              <w:bidi w:val="0"/>
              <w:jc w:val="both"/>
            </w:pPr>
            <w:r w:rsidRPr="0082089E">
              <w:t>7</w:t>
            </w:r>
          </w:p>
        </w:tc>
        <w:tc>
          <w:tcPr>
            <w:tcW w:w="590" w:type="pct"/>
            <w:noWrap/>
            <w:vAlign w:val="center"/>
          </w:tcPr>
          <w:p w:rsidR="00B7354F" w:rsidRPr="0082089E" w:rsidRDefault="00B7354F" w:rsidP="00CA0D5E">
            <w:pPr>
              <w:bidi w:val="0"/>
              <w:jc w:val="both"/>
            </w:pPr>
            <w:r w:rsidRPr="0082089E">
              <w:t>23.3%</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t>Abs</w:t>
            </w:r>
            <w:r w:rsidRPr="0082089E">
              <w:t>ent wave</w:t>
            </w:r>
          </w:p>
        </w:tc>
        <w:tc>
          <w:tcPr>
            <w:tcW w:w="418" w:type="pct"/>
            <w:noWrap/>
            <w:vAlign w:val="center"/>
          </w:tcPr>
          <w:p w:rsidR="00B7354F" w:rsidRPr="0082089E" w:rsidRDefault="00B7354F" w:rsidP="00CA0D5E">
            <w:pPr>
              <w:bidi w:val="0"/>
              <w:jc w:val="both"/>
            </w:pPr>
            <w:r w:rsidRPr="0082089E">
              <w:t>10</w:t>
            </w:r>
          </w:p>
        </w:tc>
        <w:tc>
          <w:tcPr>
            <w:tcW w:w="586" w:type="pct"/>
            <w:noWrap/>
            <w:vAlign w:val="center"/>
          </w:tcPr>
          <w:p w:rsidR="00B7354F" w:rsidRPr="0082089E" w:rsidRDefault="00B7354F" w:rsidP="00CA0D5E">
            <w:pPr>
              <w:bidi w:val="0"/>
              <w:jc w:val="both"/>
            </w:pPr>
            <w:r w:rsidRPr="0082089E">
              <w:t>33.3%</w:t>
            </w:r>
          </w:p>
        </w:tc>
        <w:tc>
          <w:tcPr>
            <w:tcW w:w="413" w:type="pct"/>
            <w:noWrap/>
            <w:vAlign w:val="center"/>
          </w:tcPr>
          <w:p w:rsidR="00B7354F" w:rsidRPr="0082089E" w:rsidRDefault="00B7354F" w:rsidP="00CA0D5E">
            <w:pPr>
              <w:bidi w:val="0"/>
              <w:jc w:val="both"/>
            </w:pPr>
            <w:r w:rsidRPr="0082089E">
              <w:t>0</w:t>
            </w:r>
          </w:p>
        </w:tc>
        <w:tc>
          <w:tcPr>
            <w:tcW w:w="590" w:type="pct"/>
            <w:noWrap/>
            <w:vAlign w:val="center"/>
          </w:tcPr>
          <w:p w:rsidR="00B7354F" w:rsidRPr="0082089E" w:rsidRDefault="00B7354F" w:rsidP="00CA0D5E">
            <w:pPr>
              <w:bidi w:val="0"/>
              <w:jc w:val="both"/>
            </w:pPr>
            <w:r w:rsidRPr="0082089E">
              <w:t>0.0%</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vAlign w:val="center"/>
          </w:tcPr>
          <w:p w:rsidR="00B7354F" w:rsidRPr="0082089E" w:rsidRDefault="00B7354F" w:rsidP="00CA0D5E">
            <w:pPr>
              <w:bidi w:val="0"/>
              <w:jc w:val="both"/>
            </w:pPr>
          </w:p>
        </w:tc>
        <w:tc>
          <w:tcPr>
            <w:tcW w:w="702" w:type="pct"/>
            <w:vMerge w:val="restart"/>
            <w:noWrap/>
            <w:vAlign w:val="center"/>
          </w:tcPr>
          <w:p w:rsidR="00B7354F" w:rsidRPr="0082089E" w:rsidRDefault="00B7354F" w:rsidP="00CA0D5E">
            <w:pPr>
              <w:bidi w:val="0"/>
              <w:jc w:val="both"/>
            </w:pPr>
            <w:r w:rsidRPr="0082089E">
              <w:t>V at 40 dB</w:t>
            </w:r>
          </w:p>
        </w:tc>
        <w:tc>
          <w:tcPr>
            <w:tcW w:w="937" w:type="pct"/>
            <w:noWrap/>
            <w:vAlign w:val="center"/>
          </w:tcPr>
          <w:p w:rsidR="00B7354F" w:rsidRPr="0082089E" w:rsidRDefault="00B7354F" w:rsidP="00CA0D5E">
            <w:pPr>
              <w:bidi w:val="0"/>
              <w:jc w:val="both"/>
            </w:pPr>
            <w:r w:rsidRPr="0082089E">
              <w:t>Well defined</w:t>
            </w:r>
          </w:p>
        </w:tc>
        <w:tc>
          <w:tcPr>
            <w:tcW w:w="418" w:type="pct"/>
            <w:noWrap/>
            <w:vAlign w:val="center"/>
          </w:tcPr>
          <w:p w:rsidR="00B7354F" w:rsidRPr="0082089E" w:rsidRDefault="00B7354F" w:rsidP="00CA0D5E">
            <w:pPr>
              <w:bidi w:val="0"/>
              <w:jc w:val="both"/>
            </w:pPr>
            <w:r w:rsidRPr="0082089E">
              <w:t>3</w:t>
            </w:r>
          </w:p>
        </w:tc>
        <w:tc>
          <w:tcPr>
            <w:tcW w:w="586" w:type="pct"/>
            <w:noWrap/>
            <w:vAlign w:val="center"/>
          </w:tcPr>
          <w:p w:rsidR="00B7354F" w:rsidRPr="0082089E" w:rsidRDefault="00B7354F" w:rsidP="00CA0D5E">
            <w:pPr>
              <w:bidi w:val="0"/>
              <w:jc w:val="both"/>
            </w:pPr>
            <w:r w:rsidRPr="0082089E">
              <w:t>10.0%</w:t>
            </w:r>
          </w:p>
        </w:tc>
        <w:tc>
          <w:tcPr>
            <w:tcW w:w="413" w:type="pct"/>
            <w:noWrap/>
            <w:vAlign w:val="center"/>
          </w:tcPr>
          <w:p w:rsidR="00B7354F" w:rsidRPr="0082089E" w:rsidRDefault="00B7354F" w:rsidP="00CA0D5E">
            <w:pPr>
              <w:bidi w:val="0"/>
              <w:jc w:val="both"/>
            </w:pPr>
            <w:r w:rsidRPr="0082089E">
              <w:t>15</w:t>
            </w:r>
          </w:p>
        </w:tc>
        <w:tc>
          <w:tcPr>
            <w:tcW w:w="590" w:type="pct"/>
            <w:noWrap/>
            <w:vAlign w:val="center"/>
          </w:tcPr>
          <w:p w:rsidR="00B7354F" w:rsidRPr="0082089E" w:rsidRDefault="00B7354F" w:rsidP="00CA0D5E">
            <w:pPr>
              <w:bidi w:val="0"/>
              <w:jc w:val="both"/>
            </w:pPr>
            <w:r w:rsidRPr="0082089E">
              <w:t>50.0%</w:t>
            </w:r>
          </w:p>
        </w:tc>
        <w:tc>
          <w:tcPr>
            <w:tcW w:w="476" w:type="pct"/>
            <w:vMerge w:val="restart"/>
            <w:noWrap/>
            <w:vAlign w:val="center"/>
          </w:tcPr>
          <w:p w:rsidR="00B7354F" w:rsidRPr="0082089E" w:rsidRDefault="00B7354F" w:rsidP="00CA0D5E">
            <w:pPr>
              <w:bidi w:val="0"/>
              <w:jc w:val="both"/>
            </w:pPr>
            <w:r w:rsidRPr="0082089E">
              <w:t>24.218</w:t>
            </w:r>
          </w:p>
        </w:tc>
        <w:tc>
          <w:tcPr>
            <w:tcW w:w="525" w:type="pct"/>
            <w:vMerge w:val="restart"/>
            <w:noWrap/>
            <w:vAlign w:val="center"/>
          </w:tcPr>
          <w:p w:rsidR="00B7354F" w:rsidRPr="0082089E" w:rsidRDefault="00B7354F" w:rsidP="00CA0D5E">
            <w:pPr>
              <w:bidi w:val="0"/>
              <w:jc w:val="both"/>
            </w:pPr>
            <w:r w:rsidRPr="0082089E">
              <w:t>0.000</w:t>
            </w:r>
          </w:p>
        </w:tc>
      </w:tr>
      <w:tr w:rsidR="00B7354F" w:rsidRPr="0082089E">
        <w:trPr>
          <w:trHeight w:val="214"/>
        </w:trPr>
        <w:tc>
          <w:tcPr>
            <w:tcW w:w="352" w:type="pct"/>
            <w:vMerge/>
            <w:vAlign w:val="center"/>
          </w:tcPr>
          <w:p w:rsidR="00B7354F" w:rsidRPr="0082089E" w:rsidRDefault="00B7354F" w:rsidP="00CA0D5E">
            <w:pPr>
              <w:bidi w:val="0"/>
              <w:jc w:val="both"/>
            </w:pPr>
          </w:p>
        </w:tc>
        <w:tc>
          <w:tcPr>
            <w:tcW w:w="702" w:type="pct"/>
            <w:vMerge/>
            <w:vAlign w:val="center"/>
          </w:tcPr>
          <w:p w:rsidR="00B7354F" w:rsidRPr="0082089E" w:rsidRDefault="00B7354F" w:rsidP="00CA0D5E">
            <w:pPr>
              <w:bidi w:val="0"/>
              <w:jc w:val="both"/>
            </w:pPr>
          </w:p>
        </w:tc>
        <w:tc>
          <w:tcPr>
            <w:tcW w:w="937" w:type="pct"/>
            <w:noWrap/>
            <w:vAlign w:val="center"/>
          </w:tcPr>
          <w:p w:rsidR="00B7354F" w:rsidRPr="0082089E" w:rsidRDefault="00B7354F" w:rsidP="00CA0D5E">
            <w:pPr>
              <w:bidi w:val="0"/>
              <w:jc w:val="both"/>
            </w:pPr>
            <w:r w:rsidRPr="0082089E">
              <w:t>Ill defined</w:t>
            </w:r>
          </w:p>
        </w:tc>
        <w:tc>
          <w:tcPr>
            <w:tcW w:w="418" w:type="pct"/>
            <w:noWrap/>
            <w:vAlign w:val="center"/>
          </w:tcPr>
          <w:p w:rsidR="00B7354F" w:rsidRPr="0082089E" w:rsidRDefault="00B7354F" w:rsidP="00CA0D5E">
            <w:pPr>
              <w:bidi w:val="0"/>
              <w:jc w:val="both"/>
            </w:pPr>
            <w:r w:rsidRPr="0082089E">
              <w:t>3</w:t>
            </w:r>
          </w:p>
        </w:tc>
        <w:tc>
          <w:tcPr>
            <w:tcW w:w="586" w:type="pct"/>
            <w:noWrap/>
            <w:vAlign w:val="center"/>
          </w:tcPr>
          <w:p w:rsidR="00B7354F" w:rsidRPr="0082089E" w:rsidRDefault="00B7354F" w:rsidP="00CA0D5E">
            <w:pPr>
              <w:bidi w:val="0"/>
              <w:jc w:val="both"/>
            </w:pPr>
            <w:r w:rsidRPr="0082089E">
              <w:t>10.0%</w:t>
            </w:r>
          </w:p>
        </w:tc>
        <w:tc>
          <w:tcPr>
            <w:tcW w:w="413" w:type="pct"/>
            <w:noWrap/>
            <w:vAlign w:val="center"/>
          </w:tcPr>
          <w:p w:rsidR="00B7354F" w:rsidRPr="0082089E" w:rsidRDefault="00B7354F" w:rsidP="00CA0D5E">
            <w:pPr>
              <w:bidi w:val="0"/>
              <w:jc w:val="both"/>
            </w:pPr>
            <w:r w:rsidRPr="0082089E">
              <w:t>10</w:t>
            </w:r>
          </w:p>
        </w:tc>
        <w:tc>
          <w:tcPr>
            <w:tcW w:w="590" w:type="pct"/>
            <w:noWrap/>
            <w:vAlign w:val="center"/>
          </w:tcPr>
          <w:p w:rsidR="00B7354F" w:rsidRPr="0082089E" w:rsidRDefault="00B7354F" w:rsidP="00CA0D5E">
            <w:pPr>
              <w:bidi w:val="0"/>
              <w:jc w:val="both"/>
            </w:pPr>
            <w:r w:rsidRPr="0082089E">
              <w:t>33.3%</w:t>
            </w:r>
          </w:p>
        </w:tc>
        <w:tc>
          <w:tcPr>
            <w:tcW w:w="476" w:type="pct"/>
            <w:vMerge/>
            <w:vAlign w:val="center"/>
          </w:tcPr>
          <w:p w:rsidR="00B7354F" w:rsidRPr="0082089E" w:rsidRDefault="00B7354F" w:rsidP="00CA0D5E">
            <w:pPr>
              <w:bidi w:val="0"/>
              <w:jc w:val="both"/>
            </w:pPr>
          </w:p>
        </w:tc>
        <w:tc>
          <w:tcPr>
            <w:tcW w:w="525" w:type="pct"/>
            <w:vMerge/>
            <w:vAlign w:val="center"/>
          </w:tcPr>
          <w:p w:rsidR="00B7354F" w:rsidRPr="0082089E" w:rsidRDefault="00B7354F" w:rsidP="00CA0D5E">
            <w:pPr>
              <w:bidi w:val="0"/>
              <w:jc w:val="both"/>
            </w:pPr>
          </w:p>
        </w:tc>
      </w:tr>
      <w:tr w:rsidR="00B7354F" w:rsidRPr="0082089E">
        <w:trPr>
          <w:trHeight w:val="354"/>
        </w:trPr>
        <w:tc>
          <w:tcPr>
            <w:tcW w:w="352" w:type="pct"/>
            <w:vMerge/>
            <w:tcBorders>
              <w:bottom w:val="single" w:sz="18" w:space="0" w:color="000000"/>
            </w:tcBorders>
            <w:vAlign w:val="center"/>
          </w:tcPr>
          <w:p w:rsidR="00B7354F" w:rsidRPr="0082089E" w:rsidRDefault="00B7354F" w:rsidP="00CA0D5E">
            <w:pPr>
              <w:bidi w:val="0"/>
              <w:jc w:val="both"/>
            </w:pPr>
          </w:p>
        </w:tc>
        <w:tc>
          <w:tcPr>
            <w:tcW w:w="702" w:type="pct"/>
            <w:vMerge/>
            <w:tcBorders>
              <w:bottom w:val="single" w:sz="18" w:space="0" w:color="000000"/>
            </w:tcBorders>
            <w:vAlign w:val="center"/>
          </w:tcPr>
          <w:p w:rsidR="00B7354F" w:rsidRPr="0082089E" w:rsidRDefault="00B7354F" w:rsidP="00CA0D5E">
            <w:pPr>
              <w:bidi w:val="0"/>
              <w:jc w:val="both"/>
            </w:pPr>
          </w:p>
        </w:tc>
        <w:tc>
          <w:tcPr>
            <w:tcW w:w="937" w:type="pct"/>
            <w:tcBorders>
              <w:bottom w:val="single" w:sz="18" w:space="0" w:color="000000"/>
            </w:tcBorders>
            <w:noWrap/>
            <w:vAlign w:val="center"/>
          </w:tcPr>
          <w:p w:rsidR="00B7354F" w:rsidRPr="0082089E" w:rsidRDefault="00B7354F" w:rsidP="00CA0D5E">
            <w:pPr>
              <w:bidi w:val="0"/>
              <w:jc w:val="both"/>
            </w:pPr>
            <w:r>
              <w:t>Abs</w:t>
            </w:r>
            <w:r w:rsidRPr="0082089E">
              <w:t>ent wave</w:t>
            </w:r>
          </w:p>
        </w:tc>
        <w:tc>
          <w:tcPr>
            <w:tcW w:w="418" w:type="pct"/>
            <w:tcBorders>
              <w:bottom w:val="single" w:sz="18" w:space="0" w:color="000000"/>
            </w:tcBorders>
            <w:noWrap/>
            <w:vAlign w:val="center"/>
          </w:tcPr>
          <w:p w:rsidR="00B7354F" w:rsidRPr="0082089E" w:rsidRDefault="00B7354F" w:rsidP="00CA0D5E">
            <w:pPr>
              <w:bidi w:val="0"/>
              <w:jc w:val="both"/>
            </w:pPr>
            <w:r w:rsidRPr="0082089E">
              <w:t>24</w:t>
            </w:r>
          </w:p>
        </w:tc>
        <w:tc>
          <w:tcPr>
            <w:tcW w:w="586" w:type="pct"/>
            <w:tcBorders>
              <w:bottom w:val="single" w:sz="18" w:space="0" w:color="000000"/>
            </w:tcBorders>
            <w:noWrap/>
            <w:vAlign w:val="center"/>
          </w:tcPr>
          <w:p w:rsidR="00B7354F" w:rsidRPr="0082089E" w:rsidRDefault="00B7354F" w:rsidP="00CA0D5E">
            <w:pPr>
              <w:bidi w:val="0"/>
              <w:jc w:val="both"/>
            </w:pPr>
            <w:r w:rsidRPr="0082089E">
              <w:t>80.0%</w:t>
            </w:r>
          </w:p>
        </w:tc>
        <w:tc>
          <w:tcPr>
            <w:tcW w:w="413" w:type="pct"/>
            <w:tcBorders>
              <w:bottom w:val="single" w:sz="18" w:space="0" w:color="000000"/>
            </w:tcBorders>
            <w:noWrap/>
            <w:vAlign w:val="center"/>
          </w:tcPr>
          <w:p w:rsidR="00B7354F" w:rsidRPr="0082089E" w:rsidRDefault="00B7354F" w:rsidP="00CA0D5E">
            <w:pPr>
              <w:bidi w:val="0"/>
              <w:jc w:val="both"/>
            </w:pPr>
            <w:r w:rsidRPr="0082089E">
              <w:t>5</w:t>
            </w:r>
          </w:p>
        </w:tc>
        <w:tc>
          <w:tcPr>
            <w:tcW w:w="590" w:type="pct"/>
            <w:tcBorders>
              <w:bottom w:val="single" w:sz="18" w:space="0" w:color="000000"/>
            </w:tcBorders>
            <w:noWrap/>
            <w:vAlign w:val="center"/>
          </w:tcPr>
          <w:p w:rsidR="00B7354F" w:rsidRPr="0082089E" w:rsidRDefault="00B7354F" w:rsidP="00CA0D5E">
            <w:pPr>
              <w:bidi w:val="0"/>
              <w:jc w:val="both"/>
            </w:pPr>
            <w:r w:rsidRPr="0082089E">
              <w:t>16.7%</w:t>
            </w:r>
          </w:p>
        </w:tc>
        <w:tc>
          <w:tcPr>
            <w:tcW w:w="476" w:type="pct"/>
            <w:vMerge/>
            <w:tcBorders>
              <w:bottom w:val="single" w:sz="18" w:space="0" w:color="000000"/>
            </w:tcBorders>
            <w:vAlign w:val="center"/>
          </w:tcPr>
          <w:p w:rsidR="00B7354F" w:rsidRPr="0082089E" w:rsidRDefault="00B7354F" w:rsidP="00CA0D5E">
            <w:pPr>
              <w:bidi w:val="0"/>
              <w:jc w:val="both"/>
            </w:pPr>
          </w:p>
        </w:tc>
        <w:tc>
          <w:tcPr>
            <w:tcW w:w="525" w:type="pct"/>
            <w:vMerge/>
            <w:tcBorders>
              <w:bottom w:val="single" w:sz="18" w:space="0" w:color="000000"/>
            </w:tcBorders>
            <w:vAlign w:val="center"/>
          </w:tcPr>
          <w:p w:rsidR="00B7354F" w:rsidRPr="0082089E" w:rsidRDefault="00B7354F" w:rsidP="00CA0D5E">
            <w:pPr>
              <w:bidi w:val="0"/>
              <w:jc w:val="both"/>
            </w:pPr>
          </w:p>
        </w:tc>
      </w:tr>
    </w:tbl>
    <w:p w:rsidR="00B7354F" w:rsidRDefault="00B7354F" w:rsidP="00CA0D5E">
      <w:pPr>
        <w:bidi w:val="0"/>
        <w:jc w:val="both"/>
        <w:rPr>
          <w:sz w:val="28"/>
          <w:szCs w:val="28"/>
        </w:rPr>
      </w:pPr>
    </w:p>
    <w:p w:rsidR="00B7354F" w:rsidRDefault="00B7354F" w:rsidP="00CA0D5E">
      <w:pPr>
        <w:bidi w:val="0"/>
        <w:jc w:val="both"/>
        <w:rPr>
          <w:sz w:val="28"/>
          <w:szCs w:val="28"/>
          <w:rtl/>
        </w:rPr>
      </w:pPr>
      <w:r>
        <w:rPr>
          <w:sz w:val="28"/>
          <w:szCs w:val="28"/>
        </w:rPr>
        <w:t>This table shows that t</w:t>
      </w:r>
      <w:r w:rsidRPr="00AD6A82">
        <w:rPr>
          <w:sz w:val="28"/>
          <w:szCs w:val="28"/>
        </w:rPr>
        <w:t>here is a highly statistically significant difference between jaundiced group before and after treatment regarding wave morphology (marked improvement is noticed in wave's identifiability).</w:t>
      </w:r>
    </w:p>
    <w:p w:rsidR="00B7354F" w:rsidRDefault="00B7354F" w:rsidP="00CA0D5E">
      <w:pPr>
        <w:bidi w:val="0"/>
        <w:jc w:val="both"/>
        <w:rPr>
          <w:sz w:val="28"/>
          <w:szCs w:val="28"/>
        </w:rPr>
      </w:pPr>
      <w:r>
        <w:rPr>
          <w:b/>
          <w:bCs/>
          <w:sz w:val="28"/>
          <w:szCs w:val="28"/>
        </w:rPr>
        <w:t>Table (6</w:t>
      </w:r>
      <w:r w:rsidRPr="00AD6A82">
        <w:rPr>
          <w:b/>
          <w:bCs/>
          <w:sz w:val="28"/>
          <w:szCs w:val="28"/>
        </w:rPr>
        <w:t>)</w:t>
      </w:r>
      <w:r w:rsidRPr="00AD6A82">
        <w:rPr>
          <w:sz w:val="28"/>
          <w:szCs w:val="28"/>
        </w:rPr>
        <w:t xml:space="preserve"> Comparison between jaundiced group before and after treatment regarding hearing threshold</w:t>
      </w:r>
    </w:p>
    <w:p w:rsidR="00B7354F" w:rsidRPr="00AD6A82" w:rsidRDefault="00B7354F" w:rsidP="00CA0D5E">
      <w:pPr>
        <w:bidi w:val="0"/>
        <w:jc w:val="both"/>
        <w:rPr>
          <w:sz w:val="28"/>
          <w:szCs w:val="28"/>
        </w:rPr>
      </w:pPr>
      <w:r w:rsidRPr="00AD6A82">
        <w:rPr>
          <w:sz w:val="28"/>
          <w:szCs w:val="28"/>
        </w:rPr>
        <w:t xml:space="preserve"> </w:t>
      </w:r>
    </w:p>
    <w:tbl>
      <w:tblPr>
        <w:tblW w:w="5209" w:type="pct"/>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0" w:type="dxa"/>
          <w:right w:w="0" w:type="dxa"/>
        </w:tblCellMar>
        <w:tblLook w:val="0000"/>
      </w:tblPr>
      <w:tblGrid>
        <w:gridCol w:w="803"/>
        <w:gridCol w:w="3595"/>
        <w:gridCol w:w="435"/>
        <w:gridCol w:w="887"/>
        <w:gridCol w:w="435"/>
        <w:gridCol w:w="887"/>
        <w:gridCol w:w="857"/>
        <w:gridCol w:w="1008"/>
      </w:tblGrid>
      <w:tr w:rsidR="00B7354F" w:rsidRPr="00AD6A82">
        <w:trPr>
          <w:trHeight w:val="452"/>
          <w:jc w:val="center"/>
        </w:trPr>
        <w:tc>
          <w:tcPr>
            <w:tcW w:w="2468" w:type="pct"/>
            <w:gridSpan w:val="2"/>
            <w:vMerge w:val="restart"/>
            <w:tcBorders>
              <w:top w:val="single" w:sz="18" w:space="0" w:color="000000"/>
            </w:tcBorders>
            <w:vAlign w:val="center"/>
          </w:tcPr>
          <w:p w:rsidR="00B7354F" w:rsidRPr="00AD6A82" w:rsidRDefault="00B7354F" w:rsidP="00CA0D5E">
            <w:pPr>
              <w:bidi w:val="0"/>
              <w:spacing w:before="120" w:after="120"/>
              <w:jc w:val="both"/>
              <w:rPr>
                <w:b/>
                <w:bCs/>
                <w:sz w:val="28"/>
                <w:szCs w:val="28"/>
              </w:rPr>
            </w:pPr>
            <w:r w:rsidRPr="00AD6A82">
              <w:rPr>
                <w:b/>
                <w:bCs/>
                <w:sz w:val="28"/>
                <w:szCs w:val="28"/>
              </w:rPr>
              <w:t>Hearing threshold</w:t>
            </w:r>
          </w:p>
        </w:tc>
        <w:tc>
          <w:tcPr>
            <w:tcW w:w="742" w:type="pct"/>
            <w:gridSpan w:val="2"/>
            <w:tcBorders>
              <w:top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Before</w:t>
            </w:r>
          </w:p>
        </w:tc>
        <w:tc>
          <w:tcPr>
            <w:tcW w:w="742" w:type="pct"/>
            <w:gridSpan w:val="2"/>
            <w:tcBorders>
              <w:top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After</w:t>
            </w:r>
          </w:p>
        </w:tc>
        <w:tc>
          <w:tcPr>
            <w:tcW w:w="1047" w:type="pct"/>
            <w:gridSpan w:val="2"/>
            <w:tcBorders>
              <w:top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Chi-square test</w:t>
            </w:r>
          </w:p>
        </w:tc>
      </w:tr>
      <w:tr w:rsidR="00B7354F" w:rsidRPr="00AD6A82">
        <w:trPr>
          <w:trHeight w:val="138"/>
          <w:jc w:val="center"/>
        </w:trPr>
        <w:tc>
          <w:tcPr>
            <w:tcW w:w="2468" w:type="pct"/>
            <w:gridSpan w:val="2"/>
            <w:vMerge/>
            <w:vAlign w:val="center"/>
          </w:tcPr>
          <w:p w:rsidR="00B7354F" w:rsidRPr="00AD6A82" w:rsidRDefault="00B7354F" w:rsidP="00CA0D5E">
            <w:pPr>
              <w:bidi w:val="0"/>
              <w:spacing w:before="120" w:after="120"/>
              <w:jc w:val="both"/>
              <w:rPr>
                <w:b/>
                <w:bCs/>
                <w:sz w:val="28"/>
                <w:szCs w:val="28"/>
              </w:rPr>
            </w:pP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No.</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No.</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w:t>
            </w:r>
          </w:p>
        </w:tc>
        <w:tc>
          <w:tcPr>
            <w:tcW w:w="481" w:type="pct"/>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X</w:t>
            </w:r>
            <w:r w:rsidRPr="00AD6A82">
              <w:rPr>
                <w:b/>
                <w:bCs/>
                <w:sz w:val="28"/>
                <w:szCs w:val="28"/>
                <w:vertAlign w:val="superscript"/>
              </w:rPr>
              <w:t>2</w:t>
            </w:r>
          </w:p>
        </w:tc>
        <w:tc>
          <w:tcPr>
            <w:tcW w:w="567" w:type="pct"/>
            <w:noWrap/>
            <w:tcMar>
              <w:top w:w="10" w:type="dxa"/>
              <w:left w:w="10" w:type="dxa"/>
              <w:bottom w:w="0" w:type="dxa"/>
              <w:right w:w="10" w:type="dxa"/>
            </w:tcMar>
            <w:vAlign w:val="center"/>
          </w:tcPr>
          <w:p w:rsidR="00B7354F" w:rsidRPr="00AD6A82" w:rsidRDefault="00B7354F" w:rsidP="00CA0D5E">
            <w:pPr>
              <w:bidi w:val="0"/>
              <w:spacing w:before="120" w:after="120"/>
              <w:jc w:val="both"/>
              <w:rPr>
                <w:b/>
                <w:bCs/>
                <w:sz w:val="28"/>
                <w:szCs w:val="28"/>
              </w:rPr>
            </w:pPr>
            <w:r w:rsidRPr="00AD6A82">
              <w:rPr>
                <w:b/>
                <w:bCs/>
                <w:sz w:val="28"/>
                <w:szCs w:val="28"/>
              </w:rPr>
              <w:t>P-value</w:t>
            </w:r>
          </w:p>
        </w:tc>
      </w:tr>
      <w:tr w:rsidR="00B7354F" w:rsidRPr="00AD6A82">
        <w:trPr>
          <w:trHeight w:val="431"/>
          <w:jc w:val="center"/>
        </w:trPr>
        <w:tc>
          <w:tcPr>
            <w:tcW w:w="451" w:type="pct"/>
            <w:vMerge w:val="restar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Pr>
                <w:sz w:val="28"/>
                <w:szCs w:val="28"/>
              </w:rPr>
              <w:t>RT.</w:t>
            </w:r>
            <w:r w:rsidRPr="00AD6A82">
              <w:rPr>
                <w:sz w:val="28"/>
                <w:szCs w:val="28"/>
              </w:rPr>
              <w:t>ear</w:t>
            </w:r>
          </w:p>
        </w:tc>
        <w:tc>
          <w:tcPr>
            <w:tcW w:w="201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Normal hearing</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5</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16.70%</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23</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76.00%</w:t>
            </w:r>
          </w:p>
        </w:tc>
        <w:tc>
          <w:tcPr>
            <w:tcW w:w="481" w:type="pct"/>
            <w:vMerge w:val="restar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23.111</w:t>
            </w:r>
          </w:p>
        </w:tc>
        <w:tc>
          <w:tcPr>
            <w:tcW w:w="567" w:type="pct"/>
            <w:vMerge w:val="restar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&lt;0.001</w:t>
            </w:r>
          </w:p>
        </w:tc>
      </w:tr>
      <w:tr w:rsidR="00B7354F" w:rsidRPr="00AD6A82">
        <w:trPr>
          <w:trHeight w:val="138"/>
          <w:jc w:val="center"/>
        </w:trPr>
        <w:tc>
          <w:tcPr>
            <w:tcW w:w="451" w:type="pct"/>
            <w:vMerge/>
            <w:vAlign w:val="center"/>
          </w:tcPr>
          <w:p w:rsidR="00B7354F" w:rsidRPr="00AD6A82" w:rsidRDefault="00B7354F" w:rsidP="00CA0D5E">
            <w:pPr>
              <w:bidi w:val="0"/>
              <w:spacing w:before="120" w:after="120"/>
              <w:jc w:val="both"/>
              <w:rPr>
                <w:sz w:val="28"/>
                <w:szCs w:val="28"/>
              </w:rPr>
            </w:pPr>
          </w:p>
        </w:tc>
        <w:tc>
          <w:tcPr>
            <w:tcW w:w="201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Mild to moderate hearing loss</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19</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63.30%</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7</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23.00%</w:t>
            </w:r>
          </w:p>
        </w:tc>
        <w:tc>
          <w:tcPr>
            <w:tcW w:w="481" w:type="pct"/>
            <w:vMerge/>
            <w:vAlign w:val="center"/>
          </w:tcPr>
          <w:p w:rsidR="00B7354F" w:rsidRPr="00AD6A82" w:rsidRDefault="00B7354F" w:rsidP="00CA0D5E">
            <w:pPr>
              <w:bidi w:val="0"/>
              <w:spacing w:before="120" w:after="120"/>
              <w:jc w:val="both"/>
              <w:rPr>
                <w:sz w:val="28"/>
                <w:szCs w:val="28"/>
              </w:rPr>
            </w:pPr>
          </w:p>
        </w:tc>
        <w:tc>
          <w:tcPr>
            <w:tcW w:w="567" w:type="pct"/>
            <w:vMerge/>
            <w:vAlign w:val="center"/>
          </w:tcPr>
          <w:p w:rsidR="00B7354F" w:rsidRPr="00AD6A82" w:rsidRDefault="00B7354F" w:rsidP="00CA0D5E">
            <w:pPr>
              <w:bidi w:val="0"/>
              <w:spacing w:before="120" w:after="120"/>
              <w:jc w:val="both"/>
              <w:rPr>
                <w:sz w:val="28"/>
                <w:szCs w:val="28"/>
              </w:rPr>
            </w:pPr>
          </w:p>
        </w:tc>
      </w:tr>
      <w:tr w:rsidR="00B7354F" w:rsidRPr="00AD6A82">
        <w:trPr>
          <w:trHeight w:val="138"/>
          <w:jc w:val="center"/>
        </w:trPr>
        <w:tc>
          <w:tcPr>
            <w:tcW w:w="451" w:type="pct"/>
            <w:vMerge/>
            <w:vAlign w:val="center"/>
          </w:tcPr>
          <w:p w:rsidR="00B7354F" w:rsidRPr="00AD6A82" w:rsidRDefault="00B7354F" w:rsidP="00CA0D5E">
            <w:pPr>
              <w:bidi w:val="0"/>
              <w:spacing w:before="120" w:after="120"/>
              <w:jc w:val="both"/>
              <w:rPr>
                <w:sz w:val="28"/>
                <w:szCs w:val="28"/>
              </w:rPr>
            </w:pPr>
          </w:p>
        </w:tc>
        <w:tc>
          <w:tcPr>
            <w:tcW w:w="201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Severe to profound hearing loss</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6</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20.00%</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0</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00.00%</w:t>
            </w:r>
          </w:p>
        </w:tc>
        <w:tc>
          <w:tcPr>
            <w:tcW w:w="481" w:type="pct"/>
            <w:vMerge/>
            <w:vAlign w:val="center"/>
          </w:tcPr>
          <w:p w:rsidR="00B7354F" w:rsidRPr="00AD6A82" w:rsidRDefault="00B7354F" w:rsidP="00CA0D5E">
            <w:pPr>
              <w:bidi w:val="0"/>
              <w:spacing w:before="120" w:after="120"/>
              <w:jc w:val="both"/>
              <w:rPr>
                <w:sz w:val="28"/>
                <w:szCs w:val="28"/>
              </w:rPr>
            </w:pPr>
          </w:p>
        </w:tc>
        <w:tc>
          <w:tcPr>
            <w:tcW w:w="567" w:type="pct"/>
            <w:vMerge/>
            <w:vAlign w:val="center"/>
          </w:tcPr>
          <w:p w:rsidR="00B7354F" w:rsidRPr="00AD6A82" w:rsidRDefault="00B7354F" w:rsidP="00CA0D5E">
            <w:pPr>
              <w:bidi w:val="0"/>
              <w:spacing w:before="120" w:after="120"/>
              <w:jc w:val="both"/>
              <w:rPr>
                <w:sz w:val="28"/>
                <w:szCs w:val="28"/>
              </w:rPr>
            </w:pPr>
          </w:p>
        </w:tc>
      </w:tr>
      <w:tr w:rsidR="00B7354F" w:rsidRPr="00AD6A82">
        <w:trPr>
          <w:trHeight w:val="452"/>
          <w:jc w:val="center"/>
        </w:trPr>
        <w:tc>
          <w:tcPr>
            <w:tcW w:w="451" w:type="pct"/>
            <w:vMerge w:val="restar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LT.ear</w:t>
            </w:r>
          </w:p>
        </w:tc>
        <w:tc>
          <w:tcPr>
            <w:tcW w:w="201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Normal hearing</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6</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20.0%</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25</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83.30%</w:t>
            </w:r>
          </w:p>
        </w:tc>
        <w:tc>
          <w:tcPr>
            <w:tcW w:w="481" w:type="pct"/>
            <w:vMerge w:val="restar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25.645</w:t>
            </w:r>
          </w:p>
        </w:tc>
        <w:tc>
          <w:tcPr>
            <w:tcW w:w="567" w:type="pct"/>
            <w:vMerge w:val="restar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&lt;0.001</w:t>
            </w:r>
          </w:p>
        </w:tc>
      </w:tr>
      <w:tr w:rsidR="00B7354F" w:rsidRPr="00AD6A82">
        <w:trPr>
          <w:trHeight w:val="138"/>
          <w:jc w:val="center"/>
        </w:trPr>
        <w:tc>
          <w:tcPr>
            <w:tcW w:w="451" w:type="pct"/>
            <w:vMerge/>
            <w:vAlign w:val="center"/>
          </w:tcPr>
          <w:p w:rsidR="00B7354F" w:rsidRPr="00AD6A82" w:rsidRDefault="00B7354F" w:rsidP="00CA0D5E">
            <w:pPr>
              <w:bidi w:val="0"/>
              <w:spacing w:before="120" w:after="120"/>
              <w:jc w:val="both"/>
              <w:rPr>
                <w:sz w:val="28"/>
                <w:szCs w:val="28"/>
              </w:rPr>
            </w:pPr>
          </w:p>
        </w:tc>
        <w:tc>
          <w:tcPr>
            <w:tcW w:w="201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Mild to moderate hearing loss</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15</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50.0%</w:t>
            </w:r>
          </w:p>
        </w:tc>
        <w:tc>
          <w:tcPr>
            <w:tcW w:w="244"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5</w:t>
            </w:r>
          </w:p>
        </w:tc>
        <w:tc>
          <w:tcPr>
            <w:tcW w:w="498" w:type="pct"/>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16.70%</w:t>
            </w:r>
          </w:p>
        </w:tc>
        <w:tc>
          <w:tcPr>
            <w:tcW w:w="481" w:type="pct"/>
            <w:vMerge/>
            <w:vAlign w:val="center"/>
          </w:tcPr>
          <w:p w:rsidR="00B7354F" w:rsidRPr="00AD6A82" w:rsidRDefault="00B7354F" w:rsidP="00CA0D5E">
            <w:pPr>
              <w:bidi w:val="0"/>
              <w:spacing w:before="120" w:after="120"/>
              <w:jc w:val="both"/>
              <w:rPr>
                <w:sz w:val="28"/>
                <w:szCs w:val="28"/>
              </w:rPr>
            </w:pPr>
          </w:p>
        </w:tc>
        <w:tc>
          <w:tcPr>
            <w:tcW w:w="567" w:type="pct"/>
            <w:vMerge/>
            <w:vAlign w:val="center"/>
          </w:tcPr>
          <w:p w:rsidR="00B7354F" w:rsidRPr="00AD6A82" w:rsidRDefault="00B7354F" w:rsidP="00CA0D5E">
            <w:pPr>
              <w:bidi w:val="0"/>
              <w:spacing w:before="120" w:after="120"/>
              <w:jc w:val="both"/>
              <w:rPr>
                <w:sz w:val="28"/>
                <w:szCs w:val="28"/>
              </w:rPr>
            </w:pPr>
          </w:p>
        </w:tc>
      </w:tr>
      <w:tr w:rsidR="00B7354F" w:rsidRPr="00AD6A82">
        <w:trPr>
          <w:trHeight w:val="138"/>
          <w:jc w:val="center"/>
        </w:trPr>
        <w:tc>
          <w:tcPr>
            <w:tcW w:w="451" w:type="pct"/>
            <w:vMerge/>
            <w:tcBorders>
              <w:bottom w:val="single" w:sz="18" w:space="0" w:color="000000"/>
            </w:tcBorders>
            <w:vAlign w:val="center"/>
          </w:tcPr>
          <w:p w:rsidR="00B7354F" w:rsidRPr="00AD6A82" w:rsidRDefault="00B7354F" w:rsidP="00CA0D5E">
            <w:pPr>
              <w:bidi w:val="0"/>
              <w:spacing w:before="120" w:after="120"/>
              <w:jc w:val="both"/>
              <w:rPr>
                <w:sz w:val="28"/>
                <w:szCs w:val="28"/>
              </w:rPr>
            </w:pPr>
          </w:p>
        </w:tc>
        <w:tc>
          <w:tcPr>
            <w:tcW w:w="2018" w:type="pct"/>
            <w:tcBorders>
              <w:bottom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Severe to profound hearing loss</w:t>
            </w:r>
          </w:p>
        </w:tc>
        <w:tc>
          <w:tcPr>
            <w:tcW w:w="244" w:type="pct"/>
            <w:tcBorders>
              <w:bottom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9</w:t>
            </w:r>
          </w:p>
        </w:tc>
        <w:tc>
          <w:tcPr>
            <w:tcW w:w="498" w:type="pct"/>
            <w:tcBorders>
              <w:bottom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30.0%</w:t>
            </w:r>
          </w:p>
        </w:tc>
        <w:tc>
          <w:tcPr>
            <w:tcW w:w="244" w:type="pct"/>
            <w:tcBorders>
              <w:bottom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0</w:t>
            </w:r>
          </w:p>
        </w:tc>
        <w:tc>
          <w:tcPr>
            <w:tcW w:w="498" w:type="pct"/>
            <w:tcBorders>
              <w:bottom w:val="single" w:sz="18" w:space="0" w:color="000000"/>
            </w:tcBorders>
            <w:noWrap/>
            <w:tcMar>
              <w:top w:w="10" w:type="dxa"/>
              <w:left w:w="10" w:type="dxa"/>
              <w:bottom w:w="0" w:type="dxa"/>
              <w:right w:w="10" w:type="dxa"/>
            </w:tcMar>
            <w:vAlign w:val="center"/>
          </w:tcPr>
          <w:p w:rsidR="00B7354F" w:rsidRPr="00AD6A82" w:rsidRDefault="00B7354F" w:rsidP="00CA0D5E">
            <w:pPr>
              <w:bidi w:val="0"/>
              <w:spacing w:before="120" w:after="120"/>
              <w:jc w:val="both"/>
              <w:rPr>
                <w:sz w:val="28"/>
                <w:szCs w:val="28"/>
              </w:rPr>
            </w:pPr>
            <w:r w:rsidRPr="00AD6A82">
              <w:rPr>
                <w:sz w:val="28"/>
                <w:szCs w:val="28"/>
              </w:rPr>
              <w:t>0.00%</w:t>
            </w:r>
          </w:p>
        </w:tc>
        <w:tc>
          <w:tcPr>
            <w:tcW w:w="481" w:type="pct"/>
            <w:vMerge/>
            <w:tcBorders>
              <w:bottom w:val="single" w:sz="18" w:space="0" w:color="000000"/>
            </w:tcBorders>
            <w:vAlign w:val="center"/>
          </w:tcPr>
          <w:p w:rsidR="00B7354F" w:rsidRPr="00AD6A82" w:rsidRDefault="00B7354F" w:rsidP="00CA0D5E">
            <w:pPr>
              <w:bidi w:val="0"/>
              <w:spacing w:before="120" w:after="120"/>
              <w:jc w:val="both"/>
              <w:rPr>
                <w:sz w:val="28"/>
                <w:szCs w:val="28"/>
              </w:rPr>
            </w:pPr>
          </w:p>
        </w:tc>
        <w:tc>
          <w:tcPr>
            <w:tcW w:w="567" w:type="pct"/>
            <w:vMerge/>
            <w:tcBorders>
              <w:bottom w:val="single" w:sz="18" w:space="0" w:color="000000"/>
            </w:tcBorders>
            <w:vAlign w:val="center"/>
          </w:tcPr>
          <w:p w:rsidR="00B7354F" w:rsidRPr="00AD6A82" w:rsidRDefault="00B7354F" w:rsidP="00CA0D5E">
            <w:pPr>
              <w:bidi w:val="0"/>
              <w:spacing w:before="120" w:after="120"/>
              <w:jc w:val="both"/>
              <w:rPr>
                <w:sz w:val="28"/>
                <w:szCs w:val="28"/>
              </w:rPr>
            </w:pPr>
          </w:p>
        </w:tc>
      </w:tr>
    </w:tbl>
    <w:p w:rsidR="00B7354F" w:rsidRDefault="00B7354F" w:rsidP="00CA0D5E">
      <w:pPr>
        <w:bidi w:val="0"/>
        <w:jc w:val="both"/>
        <w:rPr>
          <w:sz w:val="28"/>
          <w:szCs w:val="28"/>
        </w:rPr>
      </w:pPr>
    </w:p>
    <w:p w:rsidR="00B7354F" w:rsidRPr="00D75145" w:rsidRDefault="00B7354F" w:rsidP="00CA0D5E">
      <w:pPr>
        <w:bidi w:val="0"/>
        <w:jc w:val="both"/>
        <w:rPr>
          <w:sz w:val="28"/>
          <w:szCs w:val="28"/>
        </w:rPr>
      </w:pPr>
      <w:r>
        <w:rPr>
          <w:sz w:val="28"/>
          <w:szCs w:val="28"/>
        </w:rPr>
        <w:t>This table shows that t</w:t>
      </w:r>
      <w:r w:rsidRPr="00AD6A82">
        <w:rPr>
          <w:sz w:val="28"/>
          <w:szCs w:val="28"/>
        </w:rPr>
        <w:t>here is a highly statistically significant difference between jaundiced group before and after treatment regarding hearing threshold (marked impr</w:t>
      </w:r>
      <w:r>
        <w:rPr>
          <w:sz w:val="28"/>
          <w:szCs w:val="28"/>
        </w:rPr>
        <w:t>ovement of hearing is noticed).</w:t>
      </w:r>
    </w:p>
    <w:p w:rsidR="00B7354F" w:rsidRDefault="00B7354F" w:rsidP="00CA0D5E">
      <w:pPr>
        <w:bidi w:val="0"/>
        <w:spacing w:line="360" w:lineRule="auto"/>
        <w:jc w:val="both"/>
        <w:rPr>
          <w:b/>
          <w:bCs/>
          <w:sz w:val="32"/>
          <w:szCs w:val="32"/>
        </w:rPr>
      </w:pPr>
    </w:p>
    <w:p w:rsidR="00B7354F" w:rsidRPr="00B61278" w:rsidRDefault="00B7354F" w:rsidP="00CA0D5E">
      <w:pPr>
        <w:bidi w:val="0"/>
        <w:spacing w:line="360" w:lineRule="auto"/>
        <w:jc w:val="both"/>
        <w:rPr>
          <w:b/>
          <w:bCs/>
          <w:sz w:val="32"/>
          <w:szCs w:val="32"/>
          <w:u w:val="single"/>
        </w:rPr>
      </w:pPr>
      <w:r w:rsidRPr="00B61278">
        <w:rPr>
          <w:b/>
          <w:bCs/>
          <w:sz w:val="32"/>
          <w:szCs w:val="32"/>
          <w:u w:val="single"/>
        </w:rPr>
        <w:t>Discussion</w:t>
      </w:r>
    </w:p>
    <w:p w:rsidR="00B7354F" w:rsidRPr="00B61278" w:rsidRDefault="00B7354F" w:rsidP="00520468">
      <w:pPr>
        <w:shd w:val="clear" w:color="auto" w:fill="FFFFFF"/>
        <w:bidi w:val="0"/>
        <w:spacing w:line="360" w:lineRule="auto"/>
        <w:ind w:firstLine="720"/>
        <w:jc w:val="both"/>
        <w:rPr>
          <w:b/>
          <w:bCs/>
          <w:sz w:val="28"/>
          <w:szCs w:val="28"/>
        </w:rPr>
      </w:pPr>
      <w:r w:rsidRPr="00B61278">
        <w:rPr>
          <w:color w:val="000000"/>
          <w:sz w:val="28"/>
          <w:szCs w:val="28"/>
        </w:rPr>
        <w:t xml:space="preserve">Hyperbilirubinemia is a common problem and one of the most important problems in newborns </w:t>
      </w:r>
      <w:r w:rsidRPr="00B61278">
        <w:rPr>
          <w:b/>
          <w:bCs/>
          <w:color w:val="000000"/>
          <w:sz w:val="28"/>
          <w:szCs w:val="28"/>
        </w:rPr>
        <w:t>(</w:t>
      </w:r>
      <w:r w:rsidRPr="00B61278">
        <w:rPr>
          <w:b/>
          <w:bCs/>
          <w:sz w:val="28"/>
          <w:szCs w:val="28"/>
        </w:rPr>
        <w:t>Okhravi et al., 2015)</w:t>
      </w:r>
      <w:r w:rsidRPr="00B61278">
        <w:rPr>
          <w:b/>
          <w:bCs/>
          <w:color w:val="000000"/>
          <w:sz w:val="28"/>
          <w:szCs w:val="28"/>
        </w:rPr>
        <w:t>.</w:t>
      </w:r>
      <w:r w:rsidRPr="00B61278">
        <w:rPr>
          <w:b/>
          <w:bCs/>
          <w:sz w:val="28"/>
          <w:szCs w:val="28"/>
        </w:rPr>
        <w:t xml:space="preserve"> </w:t>
      </w:r>
      <w:r w:rsidRPr="00B61278">
        <w:rPr>
          <w:color w:val="000000"/>
          <w:sz w:val="28"/>
          <w:szCs w:val="28"/>
        </w:rPr>
        <w:t>ABR has been an effective method of assessing the audi</w:t>
      </w:r>
      <w:r w:rsidRPr="00B61278">
        <w:rPr>
          <w:color w:val="000000"/>
          <w:sz w:val="28"/>
          <w:szCs w:val="28"/>
        </w:rPr>
        <w:softHyphen/>
        <w:t>tory pathway and brainstem function in newborns and infants, recently recognized as a useful diagnostic tool in newborns</w:t>
      </w:r>
      <w:r>
        <w:rPr>
          <w:b/>
          <w:bCs/>
          <w:sz w:val="28"/>
          <w:szCs w:val="28"/>
        </w:rPr>
        <w:t xml:space="preserve"> (Picton et al., 2012</w:t>
      </w:r>
      <w:r w:rsidRPr="00B61278">
        <w:rPr>
          <w:b/>
          <w:bCs/>
          <w:sz w:val="28"/>
          <w:szCs w:val="28"/>
        </w:rPr>
        <w:t>).</w:t>
      </w:r>
      <w:r w:rsidRPr="00B61278">
        <w:rPr>
          <w:color w:val="000000"/>
          <w:sz w:val="28"/>
          <w:szCs w:val="28"/>
        </w:rPr>
        <w:t xml:space="preserve"> In the present study,</w:t>
      </w:r>
      <w:r w:rsidRPr="00B61278">
        <w:rPr>
          <w:sz w:val="28"/>
          <w:szCs w:val="28"/>
        </w:rPr>
        <w:t xml:space="preserve"> according to the results of ABR,</w:t>
      </w:r>
      <w:r w:rsidRPr="00B61278">
        <w:rPr>
          <w:color w:val="000000"/>
          <w:sz w:val="28"/>
          <w:szCs w:val="28"/>
        </w:rPr>
        <w:t xml:space="preserve"> latencies of almost all the waves and intervals were </w:t>
      </w:r>
      <w:r w:rsidRPr="00B61278">
        <w:rPr>
          <w:sz w:val="28"/>
          <w:szCs w:val="28"/>
        </w:rPr>
        <w:t>significantly prolonged in jaundiced neonatal group com</w:t>
      </w:r>
      <w:r w:rsidRPr="00B61278">
        <w:rPr>
          <w:sz w:val="28"/>
          <w:szCs w:val="28"/>
        </w:rPr>
        <w:softHyphen/>
        <w:t>pared with healthy control group, The mean laten</w:t>
      </w:r>
      <w:r w:rsidRPr="00B61278">
        <w:rPr>
          <w:sz w:val="28"/>
          <w:szCs w:val="28"/>
        </w:rPr>
        <w:softHyphen/>
        <w:t>cy time of ABR waves I, III, V and the mean latency time of waves V at 40 dB in right and left ears were significantly higher in the studied group than that of the control group (P &lt; 0.01). Also the mean inter-peak-interval (IPI) time of waves I-III, III-V, I-V  in right and left ears of the studied group were significantly higher than that in control group (P &lt; 0.01)</w:t>
      </w:r>
      <w:r w:rsidRPr="00B61278">
        <w:rPr>
          <w:b/>
          <w:bCs/>
          <w:sz w:val="28"/>
          <w:szCs w:val="28"/>
        </w:rPr>
        <w:t xml:space="preserve"> (Table 1)</w:t>
      </w:r>
      <w:r w:rsidRPr="00B61278">
        <w:rPr>
          <w:sz w:val="28"/>
          <w:szCs w:val="28"/>
        </w:rPr>
        <w:t>.</w:t>
      </w:r>
      <w:r w:rsidRPr="00B61278">
        <w:rPr>
          <w:b/>
          <w:bCs/>
          <w:sz w:val="28"/>
          <w:szCs w:val="28"/>
        </w:rPr>
        <w:t xml:space="preserve"> </w:t>
      </w:r>
      <w:r w:rsidRPr="00B61278">
        <w:rPr>
          <w:color w:val="2E2E2E"/>
          <w:sz w:val="28"/>
          <w:szCs w:val="28"/>
        </w:rPr>
        <w:t>The results of the present study were in agreement with the studies done by</w:t>
      </w:r>
      <w:r w:rsidRPr="00B61278">
        <w:rPr>
          <w:sz w:val="28"/>
          <w:szCs w:val="28"/>
        </w:rPr>
        <w:t xml:space="preserve"> </w:t>
      </w:r>
      <w:r w:rsidRPr="00B61278">
        <w:rPr>
          <w:b/>
          <w:bCs/>
          <w:sz w:val="28"/>
          <w:szCs w:val="28"/>
        </w:rPr>
        <w:t>Okhravi et al., (2015),</w:t>
      </w:r>
      <w:r w:rsidRPr="00B61278">
        <w:rPr>
          <w:sz w:val="28"/>
          <w:szCs w:val="28"/>
        </w:rPr>
        <w:t xml:space="preserve"> </w:t>
      </w:r>
      <w:r w:rsidRPr="00B61278">
        <w:rPr>
          <w:b/>
          <w:bCs/>
          <w:color w:val="2E2E2E"/>
          <w:sz w:val="28"/>
          <w:szCs w:val="28"/>
        </w:rPr>
        <w:t>Sobhy et al., (2015)</w:t>
      </w:r>
      <w:r w:rsidRPr="00B61278">
        <w:rPr>
          <w:b/>
          <w:bCs/>
          <w:sz w:val="28"/>
          <w:szCs w:val="28"/>
        </w:rPr>
        <w:t>, Liang and Xie (2011),</w:t>
      </w:r>
      <w:r w:rsidRPr="00B61278">
        <w:rPr>
          <w:b/>
          <w:bCs/>
          <w:color w:val="000000"/>
          <w:sz w:val="28"/>
          <w:szCs w:val="28"/>
        </w:rPr>
        <w:t xml:space="preserve"> </w:t>
      </w:r>
      <w:r w:rsidRPr="00B61278">
        <w:rPr>
          <w:b/>
          <w:bCs/>
          <w:sz w:val="28"/>
          <w:szCs w:val="28"/>
        </w:rPr>
        <w:t xml:space="preserve"> Baradaranfar</w:t>
      </w:r>
      <w:r w:rsidRPr="00B61278">
        <w:rPr>
          <w:sz w:val="28"/>
          <w:szCs w:val="28"/>
        </w:rPr>
        <w:t xml:space="preserve"> </w:t>
      </w:r>
      <w:r w:rsidRPr="00B61278">
        <w:rPr>
          <w:b/>
          <w:bCs/>
          <w:sz w:val="28"/>
          <w:szCs w:val="28"/>
        </w:rPr>
        <w:t>et al., (2011</w:t>
      </w:r>
      <w:r w:rsidRPr="00B61278">
        <w:rPr>
          <w:sz w:val="28"/>
          <w:szCs w:val="28"/>
        </w:rPr>
        <w:t>),</w:t>
      </w:r>
      <w:r w:rsidRPr="00B61278">
        <w:rPr>
          <w:b/>
          <w:bCs/>
          <w:sz w:val="28"/>
          <w:szCs w:val="28"/>
        </w:rPr>
        <w:t xml:space="preserve"> Saluja et al,.(2010)</w:t>
      </w:r>
      <w:r w:rsidRPr="00B61278">
        <w:rPr>
          <w:sz w:val="28"/>
          <w:szCs w:val="28"/>
        </w:rPr>
        <w:t>,</w:t>
      </w:r>
      <w:r w:rsidRPr="00B61278">
        <w:rPr>
          <w:b/>
          <w:bCs/>
          <w:sz w:val="28"/>
          <w:szCs w:val="28"/>
        </w:rPr>
        <w:t xml:space="preserve"> Jiang et al., 2007)</w:t>
      </w:r>
      <w:r w:rsidRPr="00B61278">
        <w:rPr>
          <w:b/>
          <w:bCs/>
          <w:color w:val="000000"/>
          <w:sz w:val="28"/>
          <w:szCs w:val="28"/>
        </w:rPr>
        <w:t>, Sharma et al</w:t>
      </w:r>
      <w:r w:rsidRPr="00B61278">
        <w:rPr>
          <w:color w:val="000000"/>
          <w:sz w:val="28"/>
          <w:szCs w:val="28"/>
        </w:rPr>
        <w:t>.</w:t>
      </w:r>
      <w:r w:rsidRPr="00B61278">
        <w:rPr>
          <w:sz w:val="28"/>
          <w:szCs w:val="28"/>
        </w:rPr>
        <w:t xml:space="preserve">, </w:t>
      </w:r>
      <w:r w:rsidRPr="00B61278">
        <w:rPr>
          <w:b/>
          <w:bCs/>
          <w:sz w:val="28"/>
          <w:szCs w:val="28"/>
        </w:rPr>
        <w:t>(2006)</w:t>
      </w:r>
      <w:r w:rsidRPr="00B61278">
        <w:rPr>
          <w:b/>
          <w:bCs/>
          <w:color w:val="2E2E2E"/>
          <w:sz w:val="28"/>
          <w:szCs w:val="28"/>
        </w:rPr>
        <w:t xml:space="preserve"> and EL Meneza et al</w:t>
      </w:r>
      <w:r>
        <w:rPr>
          <w:b/>
          <w:bCs/>
          <w:color w:val="2E2E2E"/>
          <w:sz w:val="28"/>
          <w:szCs w:val="28"/>
        </w:rPr>
        <w:t>.</w:t>
      </w:r>
      <w:r w:rsidRPr="00B61278">
        <w:rPr>
          <w:b/>
          <w:bCs/>
          <w:color w:val="2E2E2E"/>
          <w:sz w:val="28"/>
          <w:szCs w:val="28"/>
        </w:rPr>
        <w:t>, (2005).</w:t>
      </w:r>
    </w:p>
    <w:p w:rsidR="00B7354F" w:rsidRDefault="00B7354F" w:rsidP="00CA0D5E">
      <w:pPr>
        <w:shd w:val="clear" w:color="auto" w:fill="FFFFFF"/>
        <w:bidi w:val="0"/>
        <w:spacing w:line="360" w:lineRule="auto"/>
        <w:jc w:val="both"/>
        <w:rPr>
          <w:sz w:val="28"/>
          <w:szCs w:val="28"/>
        </w:rPr>
      </w:pPr>
      <w:r w:rsidRPr="00B61278">
        <w:rPr>
          <w:sz w:val="28"/>
          <w:szCs w:val="28"/>
        </w:rPr>
        <w:t>Also in the present study a comparison was done between jaundiced neonates group before and after treatment regarding absolute and inter-peak latencies, waves morphology, and hearing threshold</w:t>
      </w:r>
      <w:r>
        <w:rPr>
          <w:b/>
          <w:bCs/>
          <w:sz w:val="28"/>
          <w:szCs w:val="28"/>
        </w:rPr>
        <w:t xml:space="preserve"> (Tables 4, 5, 6</w:t>
      </w:r>
      <w:r w:rsidRPr="00B61278">
        <w:rPr>
          <w:b/>
          <w:bCs/>
          <w:sz w:val="28"/>
          <w:szCs w:val="28"/>
        </w:rPr>
        <w:t>)</w:t>
      </w:r>
      <w:r w:rsidRPr="00B61278">
        <w:rPr>
          <w:sz w:val="28"/>
          <w:szCs w:val="28"/>
        </w:rPr>
        <w:t>.The results of this comparison revealed that, most of the ABR tests showed a marked improvement in the mean laten</w:t>
      </w:r>
      <w:r w:rsidRPr="00B61278">
        <w:rPr>
          <w:sz w:val="28"/>
          <w:szCs w:val="28"/>
        </w:rPr>
        <w:softHyphen/>
        <w:t>cy time of waves I, III, V, wave V at 40 dB and the mean inter-peak-intervals (IPI) of waves I-III, III-V, I-V of ABR in right and left ears of the studied jaundiced group after treatment (p &lt; 0.001)</w:t>
      </w:r>
      <w:r>
        <w:rPr>
          <w:b/>
          <w:bCs/>
          <w:sz w:val="28"/>
          <w:szCs w:val="28"/>
        </w:rPr>
        <w:t xml:space="preserve"> (Table 4</w:t>
      </w:r>
      <w:r w:rsidRPr="00B61278">
        <w:rPr>
          <w:sz w:val="28"/>
          <w:szCs w:val="28"/>
        </w:rPr>
        <w:t>) which indicate an improvement of transmission time in the brainstem. Also a marked improvement in waves identifiability was noticed  in waves I, III, V, and wave V at 40 dB in both right and left ears as regarding waves morphology (p = 0.000)</w:t>
      </w:r>
      <w:r>
        <w:rPr>
          <w:b/>
          <w:bCs/>
          <w:sz w:val="28"/>
          <w:szCs w:val="28"/>
        </w:rPr>
        <w:t xml:space="preserve"> (Table 5</w:t>
      </w:r>
      <w:r w:rsidRPr="00B61278">
        <w:rPr>
          <w:sz w:val="28"/>
          <w:szCs w:val="28"/>
        </w:rPr>
        <w:t xml:space="preserve">). Also hearing threshold was considered in this comparison as the presence of wave V in ABR with the minimum stimulus intensity which indicate a marked improvement in hearing where,  total reversibility to normal thresholds </w:t>
      </w:r>
    </w:p>
    <w:p w:rsidR="00B7354F" w:rsidRPr="00CA0D5E" w:rsidRDefault="00B7354F" w:rsidP="00CA0D5E">
      <w:pPr>
        <w:shd w:val="clear" w:color="auto" w:fill="FFFFFF"/>
        <w:bidi w:val="0"/>
        <w:spacing w:line="360" w:lineRule="auto"/>
        <w:jc w:val="both"/>
        <w:rPr>
          <w:sz w:val="28"/>
          <w:szCs w:val="28"/>
        </w:rPr>
      </w:pPr>
      <w:r w:rsidRPr="00B61278">
        <w:rPr>
          <w:sz w:val="28"/>
          <w:szCs w:val="28"/>
        </w:rPr>
        <w:t>(normal hearing) was displayed by  23 (77.00%) and 25 (83.30%) of jaundiced neonates in the right and left ears respectively, while the remaining  7 (23.00%) and 5 (16.70%) of jaundiced neonates displayed partial reversibility (mild to moderate hearing loss) in the right and left ears respectively (p &lt; 0.001)</w:t>
      </w:r>
      <w:r>
        <w:rPr>
          <w:b/>
          <w:bCs/>
          <w:sz w:val="28"/>
          <w:szCs w:val="28"/>
        </w:rPr>
        <w:t xml:space="preserve"> (Table 6</w:t>
      </w:r>
      <w:r w:rsidRPr="00B61278">
        <w:rPr>
          <w:sz w:val="28"/>
          <w:szCs w:val="28"/>
        </w:rPr>
        <w:t xml:space="preserve">). These results of the comparison were in agreement with </w:t>
      </w:r>
      <w:r w:rsidRPr="00B61278">
        <w:rPr>
          <w:b/>
          <w:bCs/>
          <w:sz w:val="28"/>
          <w:szCs w:val="28"/>
        </w:rPr>
        <w:t>Sobhy et al., (2015)</w:t>
      </w:r>
      <w:r>
        <w:rPr>
          <w:b/>
          <w:bCs/>
          <w:sz w:val="28"/>
          <w:szCs w:val="28"/>
        </w:rPr>
        <w:t xml:space="preserve">, </w:t>
      </w:r>
      <w:r w:rsidRPr="00B15520">
        <w:rPr>
          <w:b/>
          <w:bCs/>
          <w:sz w:val="28"/>
          <w:szCs w:val="28"/>
        </w:rPr>
        <w:t>Wong et al., (2006)</w:t>
      </w:r>
      <w:r>
        <w:rPr>
          <w:b/>
          <w:bCs/>
          <w:sz w:val="28"/>
          <w:szCs w:val="28"/>
        </w:rPr>
        <w:t xml:space="preserve"> </w:t>
      </w:r>
      <w:r w:rsidRPr="00E260A2">
        <w:rPr>
          <w:sz w:val="28"/>
          <w:szCs w:val="28"/>
        </w:rPr>
        <w:t>and</w:t>
      </w:r>
      <w:r>
        <w:rPr>
          <w:b/>
          <w:bCs/>
          <w:sz w:val="28"/>
          <w:szCs w:val="28"/>
        </w:rPr>
        <w:t xml:space="preserve"> </w:t>
      </w:r>
      <w:r w:rsidRPr="00B61278">
        <w:rPr>
          <w:b/>
          <w:bCs/>
          <w:color w:val="000000"/>
          <w:sz w:val="28"/>
          <w:szCs w:val="28"/>
        </w:rPr>
        <w:t>Sharma et al</w:t>
      </w:r>
      <w:r w:rsidRPr="00B61278">
        <w:rPr>
          <w:color w:val="000000"/>
          <w:sz w:val="28"/>
          <w:szCs w:val="28"/>
        </w:rPr>
        <w:t>.</w:t>
      </w:r>
      <w:r w:rsidRPr="00B61278">
        <w:rPr>
          <w:sz w:val="28"/>
          <w:szCs w:val="28"/>
        </w:rPr>
        <w:t xml:space="preserve">, </w:t>
      </w:r>
      <w:r w:rsidRPr="00B61278">
        <w:rPr>
          <w:b/>
          <w:bCs/>
          <w:sz w:val="28"/>
          <w:szCs w:val="28"/>
        </w:rPr>
        <w:t>(2006)</w:t>
      </w:r>
      <w:r>
        <w:rPr>
          <w:b/>
          <w:bCs/>
          <w:sz w:val="28"/>
          <w:szCs w:val="28"/>
        </w:rPr>
        <w:t>.</w:t>
      </w:r>
    </w:p>
    <w:p w:rsidR="00B7354F" w:rsidRPr="00B61278" w:rsidRDefault="00B7354F" w:rsidP="00CA0D5E">
      <w:pPr>
        <w:bidi w:val="0"/>
        <w:spacing w:line="360" w:lineRule="auto"/>
        <w:jc w:val="both"/>
        <w:rPr>
          <w:b/>
          <w:bCs/>
          <w:sz w:val="28"/>
          <w:szCs w:val="28"/>
        </w:rPr>
      </w:pPr>
    </w:p>
    <w:p w:rsidR="00B7354F" w:rsidRPr="00FC50BC" w:rsidRDefault="00B7354F" w:rsidP="00CA0D5E">
      <w:pPr>
        <w:bidi w:val="0"/>
        <w:spacing w:line="360" w:lineRule="auto"/>
        <w:jc w:val="both"/>
        <w:rPr>
          <w:sz w:val="32"/>
          <w:szCs w:val="32"/>
          <w:lang w:bidi="ar-EG"/>
        </w:rPr>
      </w:pPr>
      <w:r>
        <w:rPr>
          <w:b/>
          <w:bCs/>
          <w:sz w:val="32"/>
          <w:szCs w:val="32"/>
        </w:rPr>
        <w:t>-</w:t>
      </w:r>
      <w:r w:rsidRPr="00FC50BC">
        <w:rPr>
          <w:b/>
          <w:bCs/>
          <w:sz w:val="32"/>
          <w:szCs w:val="32"/>
        </w:rPr>
        <w:t>Conclusions</w:t>
      </w:r>
      <w:r w:rsidRPr="00FC50BC">
        <w:rPr>
          <w:sz w:val="32"/>
          <w:szCs w:val="32"/>
        </w:rPr>
        <w:t xml:space="preserve">; </w:t>
      </w:r>
      <w:r w:rsidRPr="00E260A2">
        <w:rPr>
          <w:sz w:val="28"/>
          <w:szCs w:val="28"/>
        </w:rPr>
        <w:t>About 90% of neonates</w:t>
      </w:r>
      <w:r w:rsidRPr="00E260A2">
        <w:rPr>
          <w:color w:val="000000"/>
          <w:sz w:val="28"/>
          <w:szCs w:val="28"/>
        </w:rPr>
        <w:t xml:space="preserve"> with pathologic hyperbilirubinemia</w:t>
      </w:r>
      <w:r w:rsidRPr="00E260A2">
        <w:rPr>
          <w:sz w:val="28"/>
          <w:szCs w:val="28"/>
        </w:rPr>
        <w:t xml:space="preserve"> demonstrate ABR changes. Most of these changes (about 77%) revert to normal early after therapy, indicating need for aggressive therapy in this subgroup of neonates.</w:t>
      </w:r>
    </w:p>
    <w:p w:rsidR="00B7354F" w:rsidRPr="00C55557" w:rsidRDefault="00B7354F" w:rsidP="00CA0D5E">
      <w:pPr>
        <w:pStyle w:val="Pa9"/>
        <w:spacing w:before="200" w:after="80" w:line="360" w:lineRule="auto"/>
        <w:ind w:left="360"/>
        <w:jc w:val="both"/>
        <w:rPr>
          <w:rFonts w:ascii="Times New Roman" w:hAnsi="Times New Roman" w:cs="Times New Roman"/>
          <w:b/>
          <w:bCs/>
          <w:color w:val="000000"/>
          <w:sz w:val="32"/>
          <w:szCs w:val="32"/>
        </w:rPr>
      </w:pPr>
      <w:r w:rsidRPr="00C55557">
        <w:rPr>
          <w:rFonts w:ascii="Times New Roman" w:hAnsi="Times New Roman" w:cs="Times New Roman"/>
          <w:b/>
          <w:bCs/>
          <w:color w:val="000000"/>
          <w:sz w:val="32"/>
          <w:szCs w:val="32"/>
        </w:rPr>
        <w:t>References:</w:t>
      </w:r>
    </w:p>
    <w:p w:rsidR="00B7354F" w:rsidRPr="004375C9" w:rsidRDefault="00B7354F" w:rsidP="00CA0D5E">
      <w:pPr>
        <w:pStyle w:val="ListParagraph"/>
        <w:numPr>
          <w:ilvl w:val="0"/>
          <w:numId w:val="11"/>
        </w:numPr>
        <w:bidi w:val="0"/>
        <w:spacing w:line="360" w:lineRule="auto"/>
        <w:jc w:val="both"/>
        <w:rPr>
          <w:rFonts w:ascii="Times New Roman" w:hAnsi="Times New Roman" w:cs="Times New Roman"/>
          <w:sz w:val="28"/>
          <w:szCs w:val="28"/>
          <w:lang w:bidi="ar-EG"/>
        </w:rPr>
      </w:pPr>
      <w:r w:rsidRPr="004375C9">
        <w:rPr>
          <w:rFonts w:ascii="Times New Roman" w:hAnsi="Times New Roman" w:cs="Times New Roman"/>
          <w:b/>
          <w:bCs/>
          <w:sz w:val="28"/>
          <w:szCs w:val="28"/>
          <w:lang w:bidi="ar-EG"/>
        </w:rPr>
        <w:t>Ballard JK, Khoury JC, Wedig, et al (1991)</w:t>
      </w:r>
      <w:r w:rsidRPr="004375C9">
        <w:rPr>
          <w:rFonts w:ascii="Times New Roman" w:hAnsi="Times New Roman" w:cs="Times New Roman"/>
          <w:sz w:val="28"/>
          <w:szCs w:val="28"/>
          <w:lang w:bidi="ar-EG"/>
        </w:rPr>
        <w:t>: New Ballard Score expanded to include extremely premature infants. J Pediatr; 119:417.</w:t>
      </w:r>
    </w:p>
    <w:p w:rsidR="00B7354F" w:rsidRPr="00BE12FD" w:rsidRDefault="00B7354F" w:rsidP="00CA0D5E">
      <w:pPr>
        <w:pStyle w:val="ListParagraph"/>
        <w:numPr>
          <w:ilvl w:val="0"/>
          <w:numId w:val="11"/>
        </w:numPr>
        <w:bidi w:val="0"/>
        <w:spacing w:line="360" w:lineRule="auto"/>
        <w:jc w:val="both"/>
        <w:rPr>
          <w:rFonts w:ascii="Times New Roman" w:hAnsi="Times New Roman" w:cs="Times New Roman"/>
          <w:sz w:val="28"/>
          <w:szCs w:val="28"/>
        </w:rPr>
      </w:pPr>
      <w:r w:rsidRPr="004375C9">
        <w:rPr>
          <w:rFonts w:ascii="Times New Roman" w:hAnsi="Times New Roman" w:cs="Times New Roman"/>
          <w:sz w:val="28"/>
          <w:szCs w:val="28"/>
        </w:rPr>
        <w:t>.</w:t>
      </w:r>
      <w:r w:rsidRPr="004375C9">
        <w:rPr>
          <w:rFonts w:ascii="Times New Roman" w:hAnsi="Times New Roman" w:cs="Times New Roman"/>
          <w:b/>
          <w:bCs/>
          <w:sz w:val="28"/>
          <w:szCs w:val="28"/>
        </w:rPr>
        <w:t>Baradaranfar MH, Atighechi S, Dadgarnia MH, et al,. (2011)</w:t>
      </w:r>
      <w:hyperlink r:id="rId8" w:history="1">
        <w:r w:rsidRPr="004375C9">
          <w:rPr>
            <w:rFonts w:ascii="Times New Roman" w:hAnsi="Times New Roman" w:cs="Times New Roman"/>
            <w:sz w:val="28"/>
            <w:szCs w:val="28"/>
          </w:rPr>
          <w:t>Hearing status in neonatal hyperbilirubinemia by auditory brain stem evoked response and transient evoked otoacoustic emission.</w:t>
        </w:r>
      </w:hyperlink>
      <w:r w:rsidRPr="004375C9">
        <w:rPr>
          <w:rFonts w:ascii="Times New Roman" w:hAnsi="Times New Roman" w:cs="Times New Roman"/>
          <w:sz w:val="28"/>
          <w:szCs w:val="28"/>
        </w:rPr>
        <w:t xml:space="preserve"> Acta Med Iran. 49(2):109-12.</w:t>
      </w:r>
    </w:p>
    <w:p w:rsidR="00B7354F" w:rsidRPr="004375C9" w:rsidRDefault="00B7354F" w:rsidP="00CA0D5E">
      <w:pPr>
        <w:pStyle w:val="ListParagraph"/>
        <w:numPr>
          <w:ilvl w:val="0"/>
          <w:numId w:val="11"/>
        </w:numPr>
        <w:autoSpaceDE w:val="0"/>
        <w:autoSpaceDN w:val="0"/>
        <w:bidi w:val="0"/>
        <w:adjustRightInd w:val="0"/>
        <w:spacing w:before="120" w:line="360" w:lineRule="auto"/>
        <w:jc w:val="both"/>
        <w:rPr>
          <w:rFonts w:ascii="Times New Roman" w:hAnsi="Times New Roman" w:cs="Times New Roman"/>
          <w:sz w:val="28"/>
          <w:szCs w:val="28"/>
        </w:rPr>
      </w:pPr>
      <w:r w:rsidRPr="004375C9">
        <w:rPr>
          <w:rFonts w:ascii="Times New Roman" w:hAnsi="Times New Roman" w:cs="Times New Roman"/>
          <w:b/>
          <w:bCs/>
          <w:sz w:val="28"/>
          <w:szCs w:val="28"/>
        </w:rPr>
        <w:t>ElMeneza SA, ElMosely M, Tantawy SM. (2005)</w:t>
      </w:r>
      <w:r w:rsidRPr="004375C9">
        <w:rPr>
          <w:rFonts w:ascii="Times New Roman" w:hAnsi="Times New Roman" w:cs="Times New Roman"/>
          <w:sz w:val="28"/>
          <w:szCs w:val="28"/>
        </w:rPr>
        <w:t xml:space="preserve">: Study of Brain-Stem Evoked Responses Among The Newborn Infants Admitted To NICU. M.Sc. Degree in Pediatrics (6); 90-95. </w:t>
      </w:r>
    </w:p>
    <w:p w:rsidR="00B7354F" w:rsidRPr="004375C9" w:rsidRDefault="00B7354F" w:rsidP="00CA0D5E">
      <w:pPr>
        <w:pStyle w:val="ListParagraph"/>
        <w:numPr>
          <w:ilvl w:val="0"/>
          <w:numId w:val="11"/>
        </w:numPr>
        <w:bidi w:val="0"/>
        <w:spacing w:line="360" w:lineRule="auto"/>
        <w:jc w:val="both"/>
        <w:rPr>
          <w:rFonts w:ascii="Times New Roman" w:hAnsi="Times New Roman" w:cs="Times New Roman"/>
          <w:sz w:val="28"/>
          <w:szCs w:val="28"/>
          <w:lang w:bidi="ar-EG"/>
        </w:rPr>
      </w:pPr>
      <w:r w:rsidRPr="004375C9">
        <w:rPr>
          <w:rFonts w:ascii="Times New Roman" w:hAnsi="Times New Roman" w:cs="Times New Roman"/>
          <w:b/>
          <w:bCs/>
          <w:color w:val="000000"/>
          <w:sz w:val="28"/>
          <w:szCs w:val="28"/>
        </w:rPr>
        <w:t xml:space="preserve"> </w:t>
      </w:r>
      <w:r w:rsidRPr="004375C9">
        <w:rPr>
          <w:rFonts w:ascii="Times New Roman" w:hAnsi="Times New Roman" w:cs="Times New Roman"/>
          <w:b/>
          <w:bCs/>
          <w:sz w:val="28"/>
          <w:szCs w:val="28"/>
        </w:rPr>
        <w:t xml:space="preserve">Hansen TW, Wagner CL, Carter BS, et al </w:t>
      </w:r>
      <w:r w:rsidRPr="004375C9">
        <w:rPr>
          <w:rFonts w:ascii="Times New Roman" w:hAnsi="Times New Roman" w:cs="Times New Roman"/>
          <w:sz w:val="28"/>
          <w:szCs w:val="28"/>
        </w:rPr>
        <w:t>(</w:t>
      </w:r>
      <w:r w:rsidRPr="004375C9">
        <w:rPr>
          <w:rFonts w:ascii="Times New Roman" w:hAnsi="Times New Roman" w:cs="Times New Roman"/>
          <w:b/>
          <w:bCs/>
          <w:sz w:val="28"/>
          <w:szCs w:val="28"/>
        </w:rPr>
        <w:t>2014</w:t>
      </w:r>
      <w:r w:rsidRPr="004375C9">
        <w:rPr>
          <w:rFonts w:ascii="Times New Roman" w:hAnsi="Times New Roman" w:cs="Times New Roman"/>
          <w:sz w:val="28"/>
          <w:szCs w:val="28"/>
        </w:rPr>
        <w:t xml:space="preserve">).Neonatal Jaundice. Medscape: Drugs, Diseases &amp; Procedures. </w:t>
      </w:r>
    </w:p>
    <w:p w:rsidR="00B7354F" w:rsidRPr="004375C9" w:rsidRDefault="00B7354F" w:rsidP="00CA0D5E">
      <w:pPr>
        <w:pStyle w:val="Default"/>
        <w:numPr>
          <w:ilvl w:val="0"/>
          <w:numId w:val="11"/>
        </w:numPr>
        <w:spacing w:line="360" w:lineRule="auto"/>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Jiang ZD, Chen C, Liu TT, </w:t>
      </w:r>
      <w:r w:rsidRPr="004375C9">
        <w:rPr>
          <w:rFonts w:ascii="Times New Roman" w:hAnsi="Times New Roman" w:cs="Times New Roman"/>
          <w:b/>
          <w:bCs/>
          <w:sz w:val="28"/>
          <w:szCs w:val="28"/>
        </w:rPr>
        <w:t>et al</w:t>
      </w:r>
      <w:r w:rsidRPr="004375C9">
        <w:rPr>
          <w:rFonts w:ascii="Times New Roman" w:hAnsi="Times New Roman" w:cs="Times New Roman"/>
          <w:color w:val="auto"/>
          <w:sz w:val="28"/>
          <w:szCs w:val="28"/>
        </w:rPr>
        <w:t xml:space="preserve">. </w:t>
      </w:r>
      <w:r w:rsidRPr="004375C9">
        <w:rPr>
          <w:rFonts w:ascii="Times New Roman" w:hAnsi="Times New Roman" w:cs="Times New Roman"/>
          <w:b/>
          <w:bCs/>
          <w:color w:val="auto"/>
          <w:sz w:val="28"/>
          <w:szCs w:val="28"/>
        </w:rPr>
        <w:t>(2007).</w:t>
      </w:r>
      <w:r w:rsidRPr="004375C9">
        <w:rPr>
          <w:rFonts w:ascii="Times New Roman" w:hAnsi="Times New Roman" w:cs="Times New Roman"/>
          <w:color w:val="auto"/>
          <w:sz w:val="28"/>
          <w:szCs w:val="28"/>
        </w:rPr>
        <w:t xml:space="preserve"> Changes in brainstem au</w:t>
      </w:r>
      <w:r w:rsidRPr="004375C9">
        <w:rPr>
          <w:rFonts w:ascii="Times New Roman" w:hAnsi="Times New Roman" w:cs="Times New Roman"/>
          <w:color w:val="auto"/>
          <w:sz w:val="28"/>
          <w:szCs w:val="28"/>
        </w:rPr>
        <w:softHyphen/>
        <w:t>ditory evoked response latencies in term neonates with hyper</w:t>
      </w:r>
      <w:r w:rsidRPr="004375C9">
        <w:rPr>
          <w:rFonts w:ascii="Times New Roman" w:hAnsi="Times New Roman" w:cs="Times New Roman"/>
          <w:color w:val="auto"/>
          <w:sz w:val="28"/>
          <w:szCs w:val="28"/>
        </w:rPr>
        <w:softHyphen/>
        <w:t xml:space="preserve">bilirubinemia. Pediatr Neurol.; </w:t>
      </w:r>
      <w:r w:rsidRPr="004375C9">
        <w:rPr>
          <w:rFonts w:ascii="Times New Roman" w:hAnsi="Times New Roman" w:cs="Times New Roman"/>
          <w:b/>
          <w:bCs/>
          <w:color w:val="auto"/>
          <w:sz w:val="28"/>
          <w:szCs w:val="28"/>
        </w:rPr>
        <w:t>37</w:t>
      </w:r>
      <w:r w:rsidRPr="004375C9">
        <w:rPr>
          <w:rFonts w:ascii="Times New Roman" w:hAnsi="Times New Roman" w:cs="Times New Roman"/>
          <w:color w:val="auto"/>
          <w:sz w:val="28"/>
          <w:szCs w:val="28"/>
        </w:rPr>
        <w:t xml:space="preserve">(1):35–41. </w:t>
      </w:r>
    </w:p>
    <w:p w:rsidR="00B7354F" w:rsidRPr="004375C9" w:rsidRDefault="00B7354F" w:rsidP="00CA0D5E">
      <w:pPr>
        <w:pStyle w:val="ListParagraph"/>
        <w:numPr>
          <w:ilvl w:val="0"/>
          <w:numId w:val="11"/>
        </w:numPr>
        <w:bidi w:val="0"/>
        <w:spacing w:line="360" w:lineRule="auto"/>
        <w:jc w:val="both"/>
        <w:rPr>
          <w:rFonts w:ascii="Times New Roman" w:hAnsi="Times New Roman" w:cs="Times New Roman"/>
          <w:sz w:val="28"/>
          <w:szCs w:val="28"/>
          <w:lang w:bidi="ar-EG"/>
        </w:rPr>
      </w:pPr>
      <w:r>
        <w:rPr>
          <w:rFonts w:ascii="Times New Roman" w:hAnsi="Times New Roman" w:cs="Times New Roman"/>
          <w:b/>
          <w:bCs/>
          <w:sz w:val="28"/>
          <w:szCs w:val="28"/>
        </w:rPr>
        <w:t xml:space="preserve">Liang Y and </w:t>
      </w:r>
      <w:r w:rsidRPr="004375C9">
        <w:rPr>
          <w:rFonts w:ascii="Times New Roman" w:hAnsi="Times New Roman" w:cs="Times New Roman"/>
          <w:b/>
          <w:bCs/>
          <w:sz w:val="28"/>
          <w:szCs w:val="28"/>
        </w:rPr>
        <w:t>Xie XM (2011)</w:t>
      </w:r>
      <w:r w:rsidRPr="004375C9">
        <w:rPr>
          <w:rFonts w:ascii="Times New Roman" w:hAnsi="Times New Roman" w:cs="Times New Roman"/>
          <w:sz w:val="28"/>
          <w:szCs w:val="28"/>
        </w:rPr>
        <w:t>. [Characteristics of auditory brain stem response in neonatal hyperbilirubinemia induced by different causes]. Zhonghua Er Bi Yan Hou Tou Jing Wai Ke Za Zhi. ;</w:t>
      </w:r>
      <w:r w:rsidRPr="004375C9">
        <w:rPr>
          <w:rFonts w:ascii="Times New Roman" w:hAnsi="Times New Roman" w:cs="Times New Roman"/>
          <w:b/>
          <w:bCs/>
          <w:sz w:val="28"/>
          <w:szCs w:val="28"/>
        </w:rPr>
        <w:t xml:space="preserve"> 46</w:t>
      </w:r>
      <w:r w:rsidRPr="004375C9">
        <w:rPr>
          <w:rFonts w:ascii="Times New Roman" w:hAnsi="Times New Roman" w:cs="Times New Roman"/>
          <w:sz w:val="28"/>
          <w:szCs w:val="28"/>
        </w:rPr>
        <w:t>(3):190–4.</w:t>
      </w:r>
    </w:p>
    <w:p w:rsidR="00B7354F" w:rsidRPr="004375C9" w:rsidRDefault="00B7354F" w:rsidP="00CA0D5E">
      <w:pPr>
        <w:pStyle w:val="Default"/>
        <w:numPr>
          <w:ilvl w:val="0"/>
          <w:numId w:val="11"/>
        </w:numPr>
        <w:spacing w:after="200" w:line="360" w:lineRule="auto"/>
        <w:jc w:val="both"/>
        <w:rPr>
          <w:rFonts w:ascii="Times New Roman" w:hAnsi="Times New Roman" w:cs="Times New Roman"/>
          <w:sz w:val="28"/>
          <w:szCs w:val="28"/>
        </w:rPr>
      </w:pPr>
      <w:r w:rsidRPr="004375C9">
        <w:rPr>
          <w:rFonts w:ascii="Times New Roman" w:hAnsi="Times New Roman" w:cs="Times New Roman"/>
          <w:b/>
          <w:bCs/>
          <w:sz w:val="28"/>
          <w:szCs w:val="28"/>
        </w:rPr>
        <w:t xml:space="preserve">Okhravi T, Eslami </w:t>
      </w:r>
      <w:r w:rsidRPr="004375C9">
        <w:rPr>
          <w:rStyle w:val="A3"/>
          <w:rFonts w:ascii="Times New Roman" w:hAnsi="Times New Roman" w:cs="Times New Roman"/>
          <w:b/>
          <w:bCs/>
          <w:sz w:val="28"/>
          <w:szCs w:val="28"/>
        </w:rPr>
        <w:t xml:space="preserve">ST, </w:t>
      </w:r>
      <w:r w:rsidRPr="004375C9">
        <w:rPr>
          <w:rFonts w:ascii="Times New Roman" w:hAnsi="Times New Roman" w:cs="Times New Roman"/>
          <w:b/>
          <w:bCs/>
          <w:sz w:val="28"/>
          <w:szCs w:val="28"/>
        </w:rPr>
        <w:t>Ahmadi AH,</w:t>
      </w:r>
      <w:r w:rsidRPr="00D155F0">
        <w:rPr>
          <w:rFonts w:ascii="Times New Roman" w:hAnsi="Times New Roman" w:cs="Times New Roman"/>
          <w:b/>
          <w:bCs/>
          <w:sz w:val="28"/>
          <w:szCs w:val="28"/>
        </w:rPr>
        <w:t xml:space="preserve"> </w:t>
      </w:r>
      <w:r w:rsidRPr="004375C9">
        <w:rPr>
          <w:rFonts w:ascii="Times New Roman" w:hAnsi="Times New Roman" w:cs="Times New Roman"/>
          <w:b/>
          <w:bCs/>
          <w:sz w:val="28"/>
          <w:szCs w:val="28"/>
        </w:rPr>
        <w:t>et al (2015)</w:t>
      </w:r>
      <w:r w:rsidRPr="004375C9">
        <w:rPr>
          <w:rFonts w:ascii="Times New Roman" w:hAnsi="Times New Roman" w:cs="Times New Roman"/>
          <w:sz w:val="28"/>
          <w:szCs w:val="28"/>
        </w:rPr>
        <w:t>. Evaluation of Auditory Brain Stems Evoked Response in Newborns with Pathologic Hyperbilirubinemia. Iran Red Crescent Med J. 17(2): e18288.</w:t>
      </w:r>
    </w:p>
    <w:p w:rsidR="00B7354F" w:rsidRPr="004375C9" w:rsidRDefault="00B7354F" w:rsidP="00CA0D5E">
      <w:pPr>
        <w:pStyle w:val="Default"/>
        <w:numPr>
          <w:ilvl w:val="0"/>
          <w:numId w:val="11"/>
        </w:numPr>
        <w:spacing w:line="360" w:lineRule="auto"/>
        <w:jc w:val="both"/>
        <w:rPr>
          <w:rFonts w:ascii="Times New Roman" w:hAnsi="Times New Roman" w:cs="Times New Roman"/>
          <w:color w:val="auto"/>
          <w:sz w:val="28"/>
          <w:szCs w:val="28"/>
        </w:rPr>
      </w:pPr>
      <w:r>
        <w:rPr>
          <w:rFonts w:ascii="Times New Roman" w:hAnsi="Times New Roman" w:cs="Times New Roman"/>
          <w:b/>
          <w:bCs/>
          <w:color w:val="auto"/>
          <w:sz w:val="28"/>
          <w:szCs w:val="28"/>
        </w:rPr>
        <w:t>Picton TW, Taylor MJ, Durieux S</w:t>
      </w:r>
      <w:r w:rsidRPr="004375C9">
        <w:rPr>
          <w:rFonts w:ascii="Times New Roman" w:hAnsi="Times New Roman" w:cs="Times New Roman"/>
          <w:b/>
          <w:bCs/>
          <w:color w:val="auto"/>
          <w:sz w:val="28"/>
          <w:szCs w:val="28"/>
        </w:rPr>
        <w:t>A (2012).</w:t>
      </w:r>
      <w:r w:rsidRPr="004375C9">
        <w:rPr>
          <w:rFonts w:ascii="Times New Roman" w:hAnsi="Times New Roman" w:cs="Times New Roman"/>
          <w:color w:val="auto"/>
          <w:sz w:val="28"/>
          <w:szCs w:val="28"/>
        </w:rPr>
        <w:t xml:space="preserve"> Brainstem Auditory Evoked Po</w:t>
      </w:r>
      <w:r w:rsidRPr="004375C9">
        <w:rPr>
          <w:rFonts w:ascii="Times New Roman" w:hAnsi="Times New Roman" w:cs="Times New Roman"/>
          <w:color w:val="auto"/>
          <w:sz w:val="28"/>
          <w:szCs w:val="28"/>
        </w:rPr>
        <w:softHyphen/>
        <w:t>tentials in Infants and Children. 6 ed. Aminoff MJ editor. Philadel</w:t>
      </w:r>
      <w:r w:rsidRPr="004375C9">
        <w:rPr>
          <w:rFonts w:ascii="Times New Roman" w:hAnsi="Times New Roman" w:cs="Times New Roman"/>
          <w:color w:val="auto"/>
          <w:sz w:val="28"/>
          <w:szCs w:val="28"/>
        </w:rPr>
        <w:softHyphen/>
        <w:t xml:space="preserve">phia: Elsevier. </w:t>
      </w:r>
    </w:p>
    <w:p w:rsidR="00B7354F" w:rsidRPr="004375C9" w:rsidRDefault="00B7354F" w:rsidP="00CA0D5E">
      <w:pPr>
        <w:pStyle w:val="Default"/>
        <w:numPr>
          <w:ilvl w:val="0"/>
          <w:numId w:val="11"/>
        </w:numPr>
        <w:spacing w:line="360" w:lineRule="auto"/>
        <w:jc w:val="both"/>
        <w:rPr>
          <w:rFonts w:ascii="Times New Roman" w:hAnsi="Times New Roman" w:cs="Times New Roman"/>
          <w:color w:val="auto"/>
          <w:sz w:val="28"/>
          <w:szCs w:val="28"/>
        </w:rPr>
      </w:pPr>
      <w:r w:rsidRPr="004375C9">
        <w:rPr>
          <w:rFonts w:ascii="Times New Roman" w:hAnsi="Times New Roman" w:cs="Times New Roman"/>
          <w:b/>
          <w:bCs/>
          <w:color w:val="auto"/>
          <w:sz w:val="28"/>
          <w:szCs w:val="28"/>
        </w:rPr>
        <w:t>Saluja S, Agarwal A, Kler N, et al (2010)</w:t>
      </w:r>
      <w:r w:rsidRPr="004375C9">
        <w:rPr>
          <w:rFonts w:ascii="Times New Roman" w:hAnsi="Times New Roman" w:cs="Times New Roman"/>
          <w:color w:val="auto"/>
          <w:sz w:val="28"/>
          <w:szCs w:val="28"/>
        </w:rPr>
        <w:t>. Auditory neuropathy spec</w:t>
      </w:r>
      <w:r w:rsidRPr="004375C9">
        <w:rPr>
          <w:rFonts w:ascii="Times New Roman" w:hAnsi="Times New Roman" w:cs="Times New Roman"/>
          <w:color w:val="auto"/>
          <w:sz w:val="28"/>
          <w:szCs w:val="28"/>
        </w:rPr>
        <w:softHyphen/>
        <w:t>trum disorder in late preterm and term infants with severe jaun</w:t>
      </w:r>
      <w:r w:rsidRPr="004375C9">
        <w:rPr>
          <w:rFonts w:ascii="Times New Roman" w:hAnsi="Times New Roman" w:cs="Times New Roman"/>
          <w:color w:val="auto"/>
          <w:sz w:val="28"/>
          <w:szCs w:val="28"/>
        </w:rPr>
        <w:softHyphen/>
        <w:t xml:space="preserve">dice. Int J Pediatr Otorhinolaryngol. </w:t>
      </w:r>
      <w:r w:rsidRPr="004375C9">
        <w:rPr>
          <w:rFonts w:ascii="Times New Roman" w:hAnsi="Times New Roman" w:cs="Times New Roman"/>
          <w:b/>
          <w:bCs/>
          <w:color w:val="auto"/>
          <w:sz w:val="28"/>
          <w:szCs w:val="28"/>
        </w:rPr>
        <w:t>74</w:t>
      </w:r>
      <w:r w:rsidRPr="004375C9">
        <w:rPr>
          <w:rFonts w:ascii="Times New Roman" w:hAnsi="Times New Roman" w:cs="Times New Roman"/>
          <w:color w:val="auto"/>
          <w:sz w:val="28"/>
          <w:szCs w:val="28"/>
        </w:rPr>
        <w:t xml:space="preserve">(11):1292–7. </w:t>
      </w:r>
    </w:p>
    <w:p w:rsidR="00B7354F" w:rsidRPr="004375C9" w:rsidRDefault="00B7354F" w:rsidP="00CA0D5E">
      <w:pPr>
        <w:pStyle w:val="Default"/>
        <w:spacing w:line="360" w:lineRule="auto"/>
        <w:ind w:left="720"/>
        <w:jc w:val="both"/>
        <w:rPr>
          <w:rFonts w:ascii="Times New Roman" w:hAnsi="Times New Roman" w:cs="Times New Roman"/>
          <w:color w:val="auto"/>
          <w:sz w:val="28"/>
          <w:szCs w:val="28"/>
        </w:rPr>
      </w:pPr>
      <w:r w:rsidRPr="004375C9">
        <w:rPr>
          <w:rFonts w:ascii="Times New Roman" w:hAnsi="Times New Roman" w:cs="Times New Roman"/>
          <w:color w:val="auto"/>
          <w:sz w:val="28"/>
          <w:szCs w:val="28"/>
        </w:rPr>
        <w:t>10.</w:t>
      </w:r>
      <w:r w:rsidRPr="004375C9">
        <w:rPr>
          <w:rFonts w:ascii="Times New Roman" w:hAnsi="Times New Roman" w:cs="Times New Roman"/>
          <w:b/>
          <w:bCs/>
          <w:color w:val="auto"/>
          <w:sz w:val="28"/>
          <w:szCs w:val="28"/>
        </w:rPr>
        <w:t xml:space="preserve"> Sharma P, Chhangani NP, Meena KR, (2006)</w:t>
      </w:r>
      <w:r w:rsidRPr="004375C9">
        <w:rPr>
          <w:rFonts w:ascii="Times New Roman" w:hAnsi="Times New Roman" w:cs="Times New Roman"/>
          <w:color w:val="auto"/>
          <w:sz w:val="28"/>
          <w:szCs w:val="28"/>
        </w:rPr>
        <w:t xml:space="preserve">. Brainstem   evoked response audiometry (BAER) in   neonates with hyperbilirubinemia.Indian J Pediatr. </w:t>
      </w:r>
      <w:r w:rsidRPr="004375C9">
        <w:rPr>
          <w:rFonts w:ascii="Times New Roman" w:hAnsi="Times New Roman" w:cs="Times New Roman"/>
          <w:b/>
          <w:bCs/>
          <w:color w:val="auto"/>
          <w:sz w:val="28"/>
          <w:szCs w:val="28"/>
        </w:rPr>
        <w:t xml:space="preserve">73 </w:t>
      </w:r>
      <w:r w:rsidRPr="004375C9">
        <w:rPr>
          <w:rFonts w:ascii="Times New Roman" w:hAnsi="Times New Roman" w:cs="Times New Roman"/>
          <w:color w:val="auto"/>
          <w:sz w:val="28"/>
          <w:szCs w:val="28"/>
        </w:rPr>
        <w:t xml:space="preserve">(5):413–6. </w:t>
      </w:r>
    </w:p>
    <w:p w:rsidR="00B7354F" w:rsidRPr="004375C9" w:rsidRDefault="00B7354F" w:rsidP="00CA0D5E">
      <w:pPr>
        <w:autoSpaceDE w:val="0"/>
        <w:autoSpaceDN w:val="0"/>
        <w:bidi w:val="0"/>
        <w:adjustRightInd w:val="0"/>
        <w:spacing w:line="360" w:lineRule="auto"/>
        <w:ind w:left="720"/>
        <w:jc w:val="both"/>
        <w:rPr>
          <w:sz w:val="28"/>
          <w:szCs w:val="28"/>
        </w:rPr>
      </w:pPr>
      <w:r w:rsidRPr="004375C9">
        <w:rPr>
          <w:sz w:val="28"/>
          <w:szCs w:val="28"/>
        </w:rPr>
        <w:t xml:space="preserve">11. </w:t>
      </w:r>
      <w:r w:rsidRPr="004375C9">
        <w:rPr>
          <w:b/>
          <w:bCs/>
          <w:sz w:val="28"/>
          <w:szCs w:val="28"/>
        </w:rPr>
        <w:t>Sobhy OA, Asal S, Ragab F. (2015).</w:t>
      </w:r>
      <w:r w:rsidRPr="004375C9">
        <w:rPr>
          <w:sz w:val="28"/>
          <w:szCs w:val="28"/>
        </w:rPr>
        <w:t>Study of reversibility of         auditory brainstem abnormalities in infants with high risk for hearing loss.</w:t>
      </w:r>
      <w:r w:rsidRPr="004375C9">
        <w:rPr>
          <w:color w:val="0080AE"/>
          <w:sz w:val="28"/>
          <w:szCs w:val="28"/>
        </w:rPr>
        <w:t xml:space="preserve"> </w:t>
      </w:r>
      <w:r w:rsidRPr="004375C9">
        <w:rPr>
          <w:sz w:val="28"/>
          <w:szCs w:val="28"/>
        </w:rPr>
        <w:t xml:space="preserve"> Egyptian Journal of Ear, Nose, Throat and Allied Sciences 16, 75–79.</w:t>
      </w:r>
    </w:p>
    <w:p w:rsidR="00B7354F" w:rsidRPr="004375C9" w:rsidRDefault="00B7354F" w:rsidP="00CA0D5E">
      <w:pPr>
        <w:pStyle w:val="Default"/>
        <w:spacing w:after="200" w:line="360" w:lineRule="auto"/>
        <w:ind w:left="720"/>
        <w:jc w:val="both"/>
        <w:rPr>
          <w:rFonts w:ascii="Times New Roman" w:hAnsi="Times New Roman" w:cs="Times New Roman"/>
          <w:sz w:val="28"/>
          <w:szCs w:val="28"/>
        </w:rPr>
      </w:pPr>
      <w:r w:rsidRPr="004375C9">
        <w:rPr>
          <w:rFonts w:ascii="Times New Roman" w:hAnsi="Times New Roman" w:cs="Times New Roman"/>
          <w:color w:val="auto"/>
          <w:sz w:val="28"/>
          <w:szCs w:val="28"/>
        </w:rPr>
        <w:t>12</w:t>
      </w:r>
      <w:r w:rsidRPr="004375C9">
        <w:rPr>
          <w:rFonts w:ascii="Times New Roman" w:hAnsi="Times New Roman" w:cs="Times New Roman"/>
          <w:b/>
          <w:bCs/>
          <w:color w:val="auto"/>
          <w:sz w:val="28"/>
          <w:szCs w:val="28"/>
        </w:rPr>
        <w:t>. Thilo EH and Rosenberg AA (2011).</w:t>
      </w:r>
      <w:r w:rsidRPr="004375C9">
        <w:rPr>
          <w:rFonts w:ascii="Times New Roman" w:hAnsi="Times New Roman" w:cs="Times New Roman"/>
          <w:color w:val="auto"/>
          <w:sz w:val="28"/>
          <w:szCs w:val="28"/>
        </w:rPr>
        <w:t xml:space="preserve">The Newborn Infant.20th ed. Hay WW, Levin MJ, Sondheimer JM, Deterding RR editors. United States   of America: McGraw-Hill Company. </w:t>
      </w:r>
    </w:p>
    <w:p w:rsidR="00B7354F" w:rsidRDefault="00B7354F" w:rsidP="00CA0D5E">
      <w:pPr>
        <w:shd w:val="clear" w:color="auto" w:fill="FFFFFF"/>
        <w:bidi w:val="0"/>
        <w:spacing w:line="360" w:lineRule="auto"/>
        <w:jc w:val="both"/>
        <w:rPr>
          <w:sz w:val="28"/>
          <w:szCs w:val="28"/>
          <w:lang w:bidi="ar-EG"/>
        </w:rPr>
      </w:pPr>
    </w:p>
    <w:p w:rsidR="00B7354F" w:rsidRDefault="00B7354F" w:rsidP="00080DC9">
      <w:pPr>
        <w:shd w:val="clear" w:color="auto" w:fill="FFFFFF"/>
        <w:bidi w:val="0"/>
        <w:spacing w:line="360" w:lineRule="auto"/>
        <w:jc w:val="both"/>
        <w:rPr>
          <w:sz w:val="28"/>
          <w:szCs w:val="28"/>
          <w:lang w:bidi="ar-EG"/>
        </w:rPr>
      </w:pPr>
    </w:p>
    <w:p w:rsidR="00B7354F" w:rsidRDefault="00B7354F" w:rsidP="00080DC9">
      <w:pPr>
        <w:shd w:val="clear" w:color="auto" w:fill="FFFFFF"/>
        <w:bidi w:val="0"/>
        <w:spacing w:line="360" w:lineRule="auto"/>
        <w:jc w:val="both"/>
        <w:rPr>
          <w:sz w:val="28"/>
          <w:szCs w:val="28"/>
          <w:lang w:bidi="ar-EG"/>
        </w:rPr>
      </w:pPr>
    </w:p>
    <w:p w:rsidR="00B7354F" w:rsidRDefault="00B7354F" w:rsidP="00080DC9">
      <w:pPr>
        <w:shd w:val="clear" w:color="auto" w:fill="FFFFFF"/>
        <w:bidi w:val="0"/>
        <w:spacing w:line="360" w:lineRule="auto"/>
        <w:jc w:val="both"/>
        <w:rPr>
          <w:sz w:val="28"/>
          <w:szCs w:val="28"/>
          <w:lang w:bidi="ar-EG"/>
        </w:rPr>
      </w:pPr>
    </w:p>
    <w:p w:rsidR="00B7354F" w:rsidRDefault="00B7354F" w:rsidP="00080DC9">
      <w:pPr>
        <w:shd w:val="clear" w:color="auto" w:fill="FFFFFF"/>
        <w:bidi w:val="0"/>
        <w:spacing w:line="360" w:lineRule="auto"/>
        <w:jc w:val="both"/>
        <w:rPr>
          <w:sz w:val="28"/>
          <w:szCs w:val="28"/>
        </w:rPr>
      </w:pPr>
    </w:p>
    <w:p w:rsidR="00B7354F" w:rsidRDefault="00B7354F" w:rsidP="00CA0D5E">
      <w:pPr>
        <w:shd w:val="clear" w:color="auto" w:fill="FFFFFF"/>
        <w:bidi w:val="0"/>
        <w:spacing w:line="360" w:lineRule="auto"/>
        <w:jc w:val="both"/>
        <w:rPr>
          <w:sz w:val="28"/>
          <w:szCs w:val="28"/>
        </w:rPr>
      </w:pPr>
    </w:p>
    <w:p w:rsidR="00B7354F" w:rsidRDefault="00B7354F" w:rsidP="00CA0D5E">
      <w:pPr>
        <w:shd w:val="clear" w:color="auto" w:fill="FFFFFF"/>
        <w:bidi w:val="0"/>
        <w:spacing w:line="360" w:lineRule="auto"/>
        <w:jc w:val="both"/>
        <w:rPr>
          <w:sz w:val="28"/>
          <w:szCs w:val="28"/>
        </w:rPr>
      </w:pPr>
    </w:p>
    <w:p w:rsidR="00B7354F" w:rsidRDefault="00B7354F" w:rsidP="00CA0D5E">
      <w:pPr>
        <w:shd w:val="clear" w:color="auto" w:fill="FFFFFF"/>
        <w:bidi w:val="0"/>
        <w:spacing w:line="360" w:lineRule="auto"/>
        <w:jc w:val="both"/>
        <w:rPr>
          <w:sz w:val="28"/>
          <w:szCs w:val="28"/>
        </w:rPr>
      </w:pPr>
    </w:p>
    <w:p w:rsidR="00B7354F" w:rsidRDefault="00B7354F" w:rsidP="00CA0D5E">
      <w:pPr>
        <w:shd w:val="clear" w:color="auto" w:fill="FFFFFF"/>
        <w:bidi w:val="0"/>
        <w:spacing w:line="360" w:lineRule="auto"/>
        <w:jc w:val="both"/>
        <w:rPr>
          <w:sz w:val="28"/>
          <w:szCs w:val="28"/>
        </w:rPr>
      </w:pPr>
    </w:p>
    <w:p w:rsidR="00B7354F" w:rsidRDefault="00B7354F" w:rsidP="00CA0D5E">
      <w:pPr>
        <w:shd w:val="clear" w:color="auto" w:fill="FFFFFF"/>
        <w:bidi w:val="0"/>
        <w:spacing w:line="360" w:lineRule="auto"/>
        <w:jc w:val="both"/>
        <w:rPr>
          <w:sz w:val="28"/>
          <w:szCs w:val="28"/>
        </w:rPr>
      </w:pPr>
    </w:p>
    <w:p w:rsidR="00B7354F" w:rsidRDefault="00B7354F" w:rsidP="00080DC9">
      <w:pPr>
        <w:spacing w:line="360" w:lineRule="auto"/>
        <w:jc w:val="center"/>
        <w:rPr>
          <w:rFonts w:ascii="Simplified Arabic" w:hAnsi="Simplified Arabic" w:cs="Simplified Arabic"/>
          <w:b/>
          <w:bCs/>
          <w:sz w:val="36"/>
          <w:szCs w:val="36"/>
          <w:u w:val="single"/>
          <w:lang w:bidi="ar-EG"/>
        </w:rPr>
      </w:pPr>
      <w:r>
        <w:rPr>
          <w:b/>
          <w:bCs/>
          <w:sz w:val="44"/>
          <w:szCs w:val="44"/>
          <w:u w:val="single"/>
          <w:rtl/>
          <w:lang w:bidi="ar-EG"/>
        </w:rPr>
        <w:t>الملخص العربي</w:t>
      </w:r>
    </w:p>
    <w:p w:rsidR="00B7354F" w:rsidRDefault="00B7354F" w:rsidP="00080DC9">
      <w:pPr>
        <w:jc w:val="center"/>
        <w:rPr>
          <w:rFonts w:ascii="Simplified Arabic" w:hAnsi="Simplified Arabic" w:cs="Simplified Arabic"/>
          <w:sz w:val="36"/>
          <w:szCs w:val="36"/>
          <w:rtl/>
        </w:rPr>
      </w:pPr>
      <w:r>
        <w:rPr>
          <w:rFonts w:ascii="Simplified Arabic" w:hAnsi="Simplified Arabic" w:cs="Simplified Arabic"/>
          <w:b/>
          <w:bCs/>
          <w:sz w:val="36"/>
          <w:szCs w:val="36"/>
          <w:rtl/>
          <w:lang w:bidi="ar-EG"/>
        </w:rPr>
        <w:br/>
        <w:t>دراسة استجابة جذع المخ فى حالات ارتفاع نسبة الصفراء فى الاطفال حديثى الولادة و تأثير العلاج</w:t>
      </w:r>
    </w:p>
    <w:p w:rsidR="00B7354F" w:rsidRDefault="00B7354F" w:rsidP="001913EB">
      <w:pPr>
        <w:shd w:val="clear" w:color="auto" w:fill="FFFFFF"/>
        <w:bidi w:val="0"/>
        <w:spacing w:line="360" w:lineRule="auto"/>
        <w:rPr>
          <w:sz w:val="28"/>
          <w:szCs w:val="28"/>
          <w:lang w:bidi="ar-EG"/>
        </w:rPr>
      </w:pPr>
      <w:r>
        <w:rPr>
          <w:sz w:val="28"/>
          <w:szCs w:val="28"/>
          <w:rtl/>
          <w:lang w:bidi="ar-EG"/>
        </w:rPr>
        <w:tab/>
      </w:r>
    </w:p>
    <w:p w:rsidR="00B7354F" w:rsidRDefault="00B7354F" w:rsidP="00080DC9">
      <w:pPr>
        <w:spacing w:line="360" w:lineRule="auto"/>
        <w:rPr>
          <w:rFonts w:ascii="Simplified Arabic" w:hAnsi="Simplified Arabic" w:cs="Simplified Arabic"/>
          <w:b/>
          <w:bCs/>
          <w:sz w:val="32"/>
          <w:szCs w:val="32"/>
          <w:lang w:bidi="ar-EG"/>
        </w:rPr>
      </w:pPr>
      <w:r>
        <w:rPr>
          <w:rFonts w:ascii="Simplified Arabic" w:hAnsi="Simplified Arabic" w:cs="Simplified Arabic"/>
          <w:b/>
          <w:bCs/>
          <w:sz w:val="32"/>
          <w:szCs w:val="32"/>
          <w:rtl/>
          <w:lang w:bidi="ar-EG"/>
        </w:rPr>
        <w:t>المقدمة</w:t>
      </w:r>
    </w:p>
    <w:p w:rsidR="00B7354F" w:rsidRDefault="00B7354F" w:rsidP="0032553C">
      <w:pPr>
        <w:spacing w:line="360" w:lineRule="auto"/>
        <w:rPr>
          <w:rFonts w:ascii="Simplified Arabic" w:hAnsi="Simplified Arabic" w:cs="Simplified Arabic"/>
          <w:sz w:val="28"/>
          <w:szCs w:val="28"/>
          <w:lang w:bidi="ar-EG"/>
        </w:rPr>
      </w:pPr>
      <w:r>
        <w:rPr>
          <w:rFonts w:ascii="Simplified Arabic" w:hAnsi="Simplified Arabic" w:cs="Simplified Arabic"/>
          <w:sz w:val="28"/>
          <w:szCs w:val="28"/>
          <w:rtl/>
          <w:lang w:bidi="ar-EG"/>
        </w:rPr>
        <w:t>يعد ارتفاع نسبة الصفراء (اليرقان الوليدى) في الاطفال حديثي الولادة هو من اكثر الأمراض شيوعا</w:t>
      </w:r>
      <w:r>
        <w:rPr>
          <w:rFonts w:ascii="Simplified Arabic" w:hAnsi="Simplified Arabic" w:cs="Simplified Arabic"/>
          <w:b/>
          <w:bCs/>
          <w:sz w:val="28"/>
          <w:szCs w:val="28"/>
          <w:rtl/>
          <w:lang w:bidi="ar-EG"/>
        </w:rPr>
        <w:t xml:space="preserve"> </w:t>
      </w:r>
      <w:r>
        <w:rPr>
          <w:rFonts w:ascii="Simplified Arabic" w:hAnsi="Simplified Arabic" w:cs="Simplified Arabic"/>
          <w:sz w:val="28"/>
          <w:szCs w:val="28"/>
          <w:rtl/>
          <w:lang w:bidi="ar-EG"/>
        </w:rPr>
        <w:t>ويحتاج الى رعايه طبية.</w:t>
      </w:r>
      <w:r>
        <w:rPr>
          <w:rFonts w:ascii="Arial" w:hAnsi="Arial"/>
          <w:sz w:val="28"/>
          <w:szCs w:val="28"/>
          <w:rtl/>
          <w:lang w:bidi="ar-EG"/>
        </w:rPr>
        <w:t xml:space="preserve"> </w:t>
      </w:r>
      <w:r>
        <w:rPr>
          <w:rFonts w:ascii="Arial" w:hAnsi="Arial"/>
          <w:sz w:val="28"/>
          <w:szCs w:val="28"/>
          <w:rtl/>
        </w:rPr>
        <w:t>هى ظاهرة انتقالية حميدة و مؤقتة</w:t>
      </w:r>
      <w:r>
        <w:rPr>
          <w:rFonts w:ascii="Arial" w:hAnsi="Arial"/>
          <w:vanish/>
          <w:sz w:val="28"/>
          <w:szCs w:val="28"/>
        </w:rPr>
        <w:t>In a few infants, however, serum bilirubin may rise to hazardous levels that pose a direct threat of brain damage.</w:t>
      </w:r>
      <w:r>
        <w:rPr>
          <w:rFonts w:ascii="Arial" w:hAnsi="Arial"/>
          <w:sz w:val="28"/>
          <w:szCs w:val="28"/>
          <w:rtl/>
        </w:rPr>
        <w:t xml:space="preserve"> ، ولكن  ارتفاع نسبة الصفراء التي قد تصل إلى المستويات الخطرة هي التي تشكل تهديدا مباشرا بتلف في المخ.</w:t>
      </w:r>
      <w:r>
        <w:rPr>
          <w:rFonts w:ascii="Simplified Arabic" w:hAnsi="Simplified Arabic" w:cs="Simplified Arabic"/>
          <w:sz w:val="28"/>
          <w:szCs w:val="28"/>
          <w:rtl/>
          <w:lang w:bidi="ar-EG"/>
        </w:rPr>
        <w:t xml:space="preserve"> ان ترسب مادة البيليروبين (المادة المسببة لليرقان الوليدي) فى بعض اجزاء المخ يتسبب فى حالات التأثر المخى الحاد بالبليروبين ( كرنيكترس) و كذلك يؤدى الى تاثر الجهاز السمعي. </w:t>
      </w:r>
    </w:p>
    <w:p w:rsidR="00B7354F" w:rsidRDefault="00B7354F" w:rsidP="0032553C">
      <w:pPr>
        <w:spacing w:line="36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يعتبر جهاز رسم السمع بالجهد المثار لقياس استجابة جذع المخ السمعية من اهم الادوات لتقيم حالات التأثر المخى بالبىليروبين .</w:t>
      </w:r>
    </w:p>
    <w:p w:rsidR="00B7354F" w:rsidRDefault="00B7354F" w:rsidP="00080DC9">
      <w:pPr>
        <w:spacing w:line="360" w:lineRule="auto"/>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 xml:space="preserve">الهدف من الدراسة </w:t>
      </w:r>
    </w:p>
    <w:p w:rsidR="00B7354F" w:rsidRDefault="00B7354F" w:rsidP="0032553C">
      <w:pPr>
        <w:spacing w:line="360" w:lineRule="auto"/>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 xml:space="preserve"> تهدف هدة الدراسة التى تقيم القدرات السمعيه للاطفال حديثي الولادة و المصابين بارتفاع نسبة الصفراء و تأثير العلاج عليهم</w:t>
      </w:r>
      <w:r>
        <w:rPr>
          <w:rFonts w:ascii="Simplified Arabic" w:hAnsi="Simplified Arabic" w:cs="Simplified Arabic"/>
          <w:b/>
          <w:bCs/>
          <w:sz w:val="28"/>
          <w:szCs w:val="28"/>
          <w:rtl/>
          <w:lang w:bidi="ar-EG"/>
        </w:rPr>
        <w:t>.</w:t>
      </w:r>
    </w:p>
    <w:p w:rsidR="00B7354F" w:rsidRDefault="00B7354F" w:rsidP="00080DC9">
      <w:pPr>
        <w:spacing w:line="360" w:lineRule="auto"/>
        <w:rPr>
          <w:rFonts w:ascii="Simplified Arabic" w:hAnsi="Simplified Arabic" w:cs="Simplified Arabic"/>
          <w:b/>
          <w:bCs/>
          <w:sz w:val="28"/>
          <w:szCs w:val="28"/>
          <w:rtl/>
          <w:lang w:bidi="ar-EG"/>
        </w:rPr>
      </w:pPr>
    </w:p>
    <w:p w:rsidR="00B7354F" w:rsidRDefault="00B7354F" w:rsidP="00080DC9">
      <w:pPr>
        <w:spacing w:line="360" w:lineRule="auto"/>
        <w:rPr>
          <w:rFonts w:ascii="Simplified Arabic" w:hAnsi="Simplified Arabic" w:cs="Simplified Arabic"/>
          <w:b/>
          <w:bCs/>
          <w:sz w:val="28"/>
          <w:szCs w:val="28"/>
          <w:rtl/>
          <w:lang w:bidi="ar-EG"/>
        </w:rPr>
      </w:pPr>
    </w:p>
    <w:p w:rsidR="00B7354F" w:rsidRDefault="00B7354F" w:rsidP="00080DC9">
      <w:pPr>
        <w:spacing w:line="360" w:lineRule="auto"/>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المنهجيه  :</w:t>
      </w:r>
    </w:p>
    <w:p w:rsidR="00B7354F" w:rsidRDefault="00B7354F" w:rsidP="0032553C">
      <w:pPr>
        <w:spacing w:line="36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تمت هده الدراسة علي 30 طفل يعانون من ارتفاع نسبه الصفراء (اليرقان الوليدي) كمجموعة الدراسة و قد تم اختيارهم من وحده الرعايه المركزة لحديثي الولادة بمستشفي الزهراء الجامعي بجامعة الازهر وأيضا 20 طفل حديثي الولادة لا يعانون من اى مرض كمجموعة مقارنة و قد تم اختيارهم من قسم النساء و الولادة بمستشفي الزهراء الجامعي بجامعة الازهر. وخضعت المجموعتين للفحوصات الاكلينيكيه والمعمليه الكاملة و تم اختبارهم لقياس استجابة جدع المخ السمعية قبل و بعد العلاج. </w:t>
      </w:r>
    </w:p>
    <w:p w:rsidR="00B7354F" w:rsidRDefault="00B7354F" w:rsidP="00080DC9">
      <w:pPr>
        <w:spacing w:line="360" w:lineRule="auto"/>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 xml:space="preserve">نتائج الدراسه </w:t>
      </w:r>
    </w:p>
    <w:p w:rsidR="00B7354F" w:rsidRDefault="00B7354F" w:rsidP="00080DC9">
      <w:pPr>
        <w:spacing w:line="360" w:lineRule="auto"/>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90% من حالات الاصابة بالصفراء اظهرت تغير في نتائج الاختبار حيث اظهرت النتائج ان  19(63.3%) حاله كانوا يعانون من فقدان بسيط لمتوسط للسمع و 5(20 %) حالات يعانون من فقدان شديد للسمع في الأذن اليمنى و15(50%)حاله و9(30%) حالات كانوا يعانون من فقدان بسيط لمتوسط للسمع  وفقدان شديد للسمع في الأذن اليسري علي التوالي قبل العلاج.  معظم هده التغيرات (77%) عادت الي التحسن بعد العلاج مباشرة حيث  اصبحت 7 حالات فقط هي التي تعاني من فقدان بسيط لمتوسط للسمع فقط في الاذن اليمنى و5 حالات تعاني فقط من فقدان بسيط لمتوسط للسمع  في الأذن اليسري .</w:t>
      </w:r>
    </w:p>
    <w:p w:rsidR="00B7354F" w:rsidRDefault="00B7354F" w:rsidP="00080DC9">
      <w:pPr>
        <w:spacing w:line="360" w:lineRule="auto"/>
        <w:jc w:val="both"/>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 xml:space="preserve">اى ان ضعف السمع نتيجة ارتفاع نسبه الصفراء فى الاطفال حديثة الولادة قابل للتحسن بعد العلاج . </w:t>
      </w:r>
    </w:p>
    <w:p w:rsidR="00B7354F" w:rsidRDefault="00B7354F" w:rsidP="00080DC9">
      <w:pPr>
        <w:shd w:val="clear" w:color="auto" w:fill="FFFFFF"/>
        <w:bidi w:val="0"/>
        <w:spacing w:line="360" w:lineRule="auto"/>
        <w:rPr>
          <w:rFonts w:ascii="Simplified Arabic" w:hAnsi="Simplified Arabic" w:cs="Simplified Arabic"/>
          <w:sz w:val="28"/>
          <w:szCs w:val="28"/>
          <w:rtl/>
          <w:lang w:bidi="ar-EG"/>
        </w:rPr>
      </w:pPr>
    </w:p>
    <w:p w:rsidR="00B7354F" w:rsidRDefault="00B7354F" w:rsidP="00080DC9">
      <w:pPr>
        <w:shd w:val="clear" w:color="auto" w:fill="FFFFFF"/>
        <w:bidi w:val="0"/>
        <w:spacing w:line="360" w:lineRule="auto"/>
        <w:rPr>
          <w:sz w:val="28"/>
          <w:szCs w:val="28"/>
        </w:rPr>
      </w:pPr>
    </w:p>
    <w:p w:rsidR="00B7354F" w:rsidRDefault="00B7354F" w:rsidP="00080DC9">
      <w:pPr>
        <w:shd w:val="clear" w:color="auto" w:fill="FFFFFF"/>
        <w:bidi w:val="0"/>
        <w:spacing w:line="360" w:lineRule="auto"/>
        <w:rPr>
          <w:sz w:val="28"/>
          <w:szCs w:val="28"/>
        </w:rPr>
      </w:pPr>
    </w:p>
    <w:p w:rsidR="00B7354F" w:rsidRDefault="00B7354F" w:rsidP="00CA0D5E">
      <w:pPr>
        <w:shd w:val="clear" w:color="auto" w:fill="FFFFFF"/>
        <w:bidi w:val="0"/>
        <w:spacing w:line="360" w:lineRule="auto"/>
        <w:jc w:val="both"/>
        <w:rPr>
          <w:sz w:val="28"/>
          <w:szCs w:val="28"/>
        </w:rPr>
      </w:pPr>
    </w:p>
    <w:sectPr w:rsidR="00B7354F" w:rsidSect="002D6B59">
      <w:footerReference w:type="default" r:id="rId9"/>
      <w:pgSz w:w="11906" w:h="16838"/>
      <w:pgMar w:top="1701" w:right="1701" w:bottom="1701"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54F" w:rsidRDefault="00B7354F" w:rsidP="00DC77CB">
      <w:r>
        <w:separator/>
      </w:r>
    </w:p>
  </w:endnote>
  <w:endnote w:type="continuationSeparator" w:id="0">
    <w:p w:rsidR="00B7354F" w:rsidRDefault="00B7354F" w:rsidP="00DC7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pitoliumNews">
    <w:altName w:val="Times New Roman"/>
    <w:panose1 w:val="00000000000000000000"/>
    <w:charset w:val="00"/>
    <w:family w:val="roman"/>
    <w:notTrueType/>
    <w:pitch w:val="default"/>
    <w:sig w:usb0="00000003" w:usb1="00000000" w:usb2="00000000" w:usb3="00000000" w:csb0="00000001" w:csb1="00000000"/>
  </w:font>
  <w:font w:name="MS Mincho">
    <w:altName w:val="?l?r ??پ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4F" w:rsidRDefault="00B7354F">
    <w:pPr>
      <w:pStyle w:val="Footer"/>
      <w:jc w:val="center"/>
    </w:pPr>
    <w:fldSimple w:instr=" PAGE   \* MERGEFORMAT ">
      <w:r>
        <w:rPr>
          <w:noProof/>
          <w:rtl/>
        </w:rPr>
        <w:t>12</w:t>
      </w:r>
    </w:fldSimple>
  </w:p>
  <w:p w:rsidR="00B7354F" w:rsidRDefault="00B7354F">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54F" w:rsidRDefault="00B7354F" w:rsidP="00DC77CB">
      <w:r>
        <w:separator/>
      </w:r>
    </w:p>
  </w:footnote>
  <w:footnote w:type="continuationSeparator" w:id="0">
    <w:p w:rsidR="00B7354F" w:rsidRDefault="00B7354F" w:rsidP="00DC77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CEC926"/>
    <w:lvl w:ilvl="0">
      <w:numFmt w:val="bullet"/>
      <w:lvlText w:val="*"/>
      <w:lvlJc w:val="left"/>
    </w:lvl>
  </w:abstractNum>
  <w:abstractNum w:abstractNumId="1">
    <w:nsid w:val="05827625"/>
    <w:multiLevelType w:val="hybridMultilevel"/>
    <w:tmpl w:val="595EE7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AD13628"/>
    <w:multiLevelType w:val="hybridMultilevel"/>
    <w:tmpl w:val="578E67B0"/>
    <w:lvl w:ilvl="0" w:tplc="0409000B">
      <w:start w:val="1"/>
      <w:numFmt w:val="bullet"/>
      <w:lvlText w:val=""/>
      <w:lvlJc w:val="left"/>
      <w:pPr>
        <w:ind w:left="783" w:hanging="360"/>
      </w:pPr>
      <w:rPr>
        <w:rFonts w:ascii="Wingdings" w:hAnsi="Wingdings" w:hint="default"/>
      </w:rPr>
    </w:lvl>
    <w:lvl w:ilvl="1" w:tplc="04090003">
      <w:start w:val="1"/>
      <w:numFmt w:val="bullet"/>
      <w:lvlText w:val="o"/>
      <w:lvlJc w:val="left"/>
      <w:pPr>
        <w:ind w:left="1503" w:hanging="360"/>
      </w:pPr>
      <w:rPr>
        <w:rFonts w:ascii="Courier New" w:hAnsi="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hint="default"/>
      </w:rPr>
    </w:lvl>
    <w:lvl w:ilvl="8" w:tplc="04090005">
      <w:start w:val="1"/>
      <w:numFmt w:val="bullet"/>
      <w:lvlText w:val=""/>
      <w:lvlJc w:val="left"/>
      <w:pPr>
        <w:ind w:left="6543" w:hanging="360"/>
      </w:pPr>
      <w:rPr>
        <w:rFonts w:ascii="Wingdings" w:hAnsi="Wingdings" w:hint="default"/>
      </w:rPr>
    </w:lvl>
  </w:abstractNum>
  <w:abstractNum w:abstractNumId="3">
    <w:nsid w:val="14E957CE"/>
    <w:multiLevelType w:val="hybridMultilevel"/>
    <w:tmpl w:val="C55CEBA4"/>
    <w:lvl w:ilvl="0" w:tplc="04090003">
      <w:start w:val="1"/>
      <w:numFmt w:val="bullet"/>
      <w:lvlText w:val="o"/>
      <w:lvlJc w:val="left"/>
      <w:pPr>
        <w:tabs>
          <w:tab w:val="num" w:pos="360"/>
        </w:tabs>
        <w:ind w:left="360" w:hanging="360"/>
      </w:pPr>
      <w:rPr>
        <w:rFonts w:ascii="Courier New" w:hAnsi="Courier New" w:hint="default"/>
      </w:rPr>
    </w:lvl>
    <w:lvl w:ilvl="1" w:tplc="16841DBC">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636444F"/>
    <w:multiLevelType w:val="hybridMultilevel"/>
    <w:tmpl w:val="CB44AF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C1C6A12"/>
    <w:multiLevelType w:val="hybridMultilevel"/>
    <w:tmpl w:val="AFBE9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E14DD9"/>
    <w:multiLevelType w:val="hybridMultilevel"/>
    <w:tmpl w:val="C5FAA856"/>
    <w:lvl w:ilvl="0" w:tplc="895C2B8A">
      <w:start w:val="10"/>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37BC712C"/>
    <w:multiLevelType w:val="hybridMultilevel"/>
    <w:tmpl w:val="3A704428"/>
    <w:lvl w:ilvl="0" w:tplc="05E21A02">
      <w:start w:val="10"/>
      <w:numFmt w:val="decimal"/>
      <w:lvlText w:val="%1-"/>
      <w:lvlJc w:val="left"/>
      <w:pPr>
        <w:ind w:left="1140" w:hanging="4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397B7465"/>
    <w:multiLevelType w:val="hybridMultilevel"/>
    <w:tmpl w:val="02ACEE58"/>
    <w:lvl w:ilvl="0" w:tplc="04090005">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17C7708"/>
    <w:multiLevelType w:val="hybridMultilevel"/>
    <w:tmpl w:val="59CA21E6"/>
    <w:lvl w:ilvl="0" w:tplc="6FCEC926">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DA57E3D"/>
    <w:multiLevelType w:val="hybridMultilevel"/>
    <w:tmpl w:val="A19C78EE"/>
    <w:lvl w:ilvl="0" w:tplc="6FCEC926">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E6C35D"/>
    <w:multiLevelType w:val="hybridMultilevel"/>
    <w:tmpl w:val="B63C95E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5EFB087F"/>
    <w:multiLevelType w:val="hybridMultilevel"/>
    <w:tmpl w:val="0F360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FAB3B29"/>
    <w:multiLevelType w:val="hybridMultilevel"/>
    <w:tmpl w:val="50D0B4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2"/>
  </w:num>
  <w:num w:numId="5">
    <w:abstractNumId w:val="8"/>
  </w:num>
  <w:num w:numId="6">
    <w:abstractNumId w:val="4"/>
  </w:num>
  <w:num w:numId="7">
    <w:abstractNumId w:val="0"/>
    <w:lvlOverride w:ilvl="0">
      <w:lvl w:ilvl="0">
        <w:numFmt w:val="bullet"/>
        <w:lvlText w:val=""/>
        <w:lvlJc w:val="left"/>
        <w:pPr>
          <w:ind w:left="720" w:hanging="360"/>
        </w:pPr>
        <w:rPr>
          <w:rFonts w:ascii="Symbol" w:hAnsi="Symbol" w:hint="default"/>
        </w:rPr>
      </w:lvl>
    </w:lvlOverride>
  </w:num>
  <w:num w:numId="8">
    <w:abstractNumId w:val="11"/>
  </w:num>
  <w:num w:numId="9">
    <w:abstractNumId w:val="13"/>
  </w:num>
  <w:num w:numId="10">
    <w:abstractNumId w:val="9"/>
  </w:num>
  <w:num w:numId="11">
    <w:abstractNumId w:val="1"/>
  </w:num>
  <w:num w:numId="12">
    <w:abstractNumId w:val="10"/>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E8F"/>
    <w:rsid w:val="0000086B"/>
    <w:rsid w:val="00000CDB"/>
    <w:rsid w:val="00001F34"/>
    <w:rsid w:val="00002014"/>
    <w:rsid w:val="00002266"/>
    <w:rsid w:val="000027DE"/>
    <w:rsid w:val="00002A63"/>
    <w:rsid w:val="000053F3"/>
    <w:rsid w:val="0001048D"/>
    <w:rsid w:val="00011171"/>
    <w:rsid w:val="00011ADF"/>
    <w:rsid w:val="00011B0E"/>
    <w:rsid w:val="00013DA2"/>
    <w:rsid w:val="0001441A"/>
    <w:rsid w:val="000149D7"/>
    <w:rsid w:val="00015879"/>
    <w:rsid w:val="000160AD"/>
    <w:rsid w:val="00016F3D"/>
    <w:rsid w:val="00016FAA"/>
    <w:rsid w:val="00017467"/>
    <w:rsid w:val="00017889"/>
    <w:rsid w:val="00017E21"/>
    <w:rsid w:val="000205DC"/>
    <w:rsid w:val="00021588"/>
    <w:rsid w:val="000223F2"/>
    <w:rsid w:val="00022B0C"/>
    <w:rsid w:val="00022DE4"/>
    <w:rsid w:val="00023E6D"/>
    <w:rsid w:val="00025418"/>
    <w:rsid w:val="000273E4"/>
    <w:rsid w:val="00031ADC"/>
    <w:rsid w:val="00031F1D"/>
    <w:rsid w:val="00032F7E"/>
    <w:rsid w:val="00034F99"/>
    <w:rsid w:val="00035851"/>
    <w:rsid w:val="000359C2"/>
    <w:rsid w:val="00035AEC"/>
    <w:rsid w:val="00036AFD"/>
    <w:rsid w:val="00040F7D"/>
    <w:rsid w:val="0004210F"/>
    <w:rsid w:val="00044CA2"/>
    <w:rsid w:val="00045D56"/>
    <w:rsid w:val="00047FBE"/>
    <w:rsid w:val="00050E34"/>
    <w:rsid w:val="00051827"/>
    <w:rsid w:val="00052A3E"/>
    <w:rsid w:val="000544DC"/>
    <w:rsid w:val="00054CDF"/>
    <w:rsid w:val="00055067"/>
    <w:rsid w:val="00055BE8"/>
    <w:rsid w:val="00056796"/>
    <w:rsid w:val="00056A50"/>
    <w:rsid w:val="00056FE3"/>
    <w:rsid w:val="00060F58"/>
    <w:rsid w:val="00061213"/>
    <w:rsid w:val="00063B1A"/>
    <w:rsid w:val="0006508D"/>
    <w:rsid w:val="000660E3"/>
    <w:rsid w:val="00067A99"/>
    <w:rsid w:val="00070F80"/>
    <w:rsid w:val="00072045"/>
    <w:rsid w:val="00072E39"/>
    <w:rsid w:val="000755CA"/>
    <w:rsid w:val="000761D7"/>
    <w:rsid w:val="0008011B"/>
    <w:rsid w:val="00080BB0"/>
    <w:rsid w:val="00080DC9"/>
    <w:rsid w:val="00081716"/>
    <w:rsid w:val="00084FA3"/>
    <w:rsid w:val="000851A4"/>
    <w:rsid w:val="000853E3"/>
    <w:rsid w:val="000856F2"/>
    <w:rsid w:val="0008571C"/>
    <w:rsid w:val="00086D8C"/>
    <w:rsid w:val="0009139D"/>
    <w:rsid w:val="000916CD"/>
    <w:rsid w:val="00093055"/>
    <w:rsid w:val="000934CB"/>
    <w:rsid w:val="000A0065"/>
    <w:rsid w:val="000A0220"/>
    <w:rsid w:val="000A0CAA"/>
    <w:rsid w:val="000A1AA4"/>
    <w:rsid w:val="000A30EE"/>
    <w:rsid w:val="000A39FA"/>
    <w:rsid w:val="000A487C"/>
    <w:rsid w:val="000A5D9B"/>
    <w:rsid w:val="000A7EB4"/>
    <w:rsid w:val="000A7FA3"/>
    <w:rsid w:val="000B0271"/>
    <w:rsid w:val="000B04EC"/>
    <w:rsid w:val="000B09EA"/>
    <w:rsid w:val="000B0FAA"/>
    <w:rsid w:val="000B1A8D"/>
    <w:rsid w:val="000B298C"/>
    <w:rsid w:val="000B74FC"/>
    <w:rsid w:val="000C2A5F"/>
    <w:rsid w:val="000C2DE9"/>
    <w:rsid w:val="000C3A59"/>
    <w:rsid w:val="000C3DEB"/>
    <w:rsid w:val="000C5F10"/>
    <w:rsid w:val="000C73E5"/>
    <w:rsid w:val="000D00B7"/>
    <w:rsid w:val="000D192F"/>
    <w:rsid w:val="000D1B31"/>
    <w:rsid w:val="000D455C"/>
    <w:rsid w:val="000D5F8F"/>
    <w:rsid w:val="000D6F93"/>
    <w:rsid w:val="000D79F4"/>
    <w:rsid w:val="000E17FC"/>
    <w:rsid w:val="000E33C3"/>
    <w:rsid w:val="000E3404"/>
    <w:rsid w:val="000E592B"/>
    <w:rsid w:val="000E600E"/>
    <w:rsid w:val="000E6BFB"/>
    <w:rsid w:val="000E6D7D"/>
    <w:rsid w:val="000E7322"/>
    <w:rsid w:val="000F081F"/>
    <w:rsid w:val="000F08D4"/>
    <w:rsid w:val="000F0E4B"/>
    <w:rsid w:val="000F140A"/>
    <w:rsid w:val="000F19E8"/>
    <w:rsid w:val="000F2284"/>
    <w:rsid w:val="000F35CC"/>
    <w:rsid w:val="000F3A8D"/>
    <w:rsid w:val="000F4D9A"/>
    <w:rsid w:val="000F69DE"/>
    <w:rsid w:val="0010216D"/>
    <w:rsid w:val="001025A9"/>
    <w:rsid w:val="0010295D"/>
    <w:rsid w:val="00102CE7"/>
    <w:rsid w:val="00103543"/>
    <w:rsid w:val="00105626"/>
    <w:rsid w:val="00110FE7"/>
    <w:rsid w:val="001110FC"/>
    <w:rsid w:val="001118F4"/>
    <w:rsid w:val="00111C5C"/>
    <w:rsid w:val="001128A4"/>
    <w:rsid w:val="00114A3B"/>
    <w:rsid w:val="0011591D"/>
    <w:rsid w:val="00115921"/>
    <w:rsid w:val="001174D0"/>
    <w:rsid w:val="001207AF"/>
    <w:rsid w:val="001209B4"/>
    <w:rsid w:val="0012156A"/>
    <w:rsid w:val="001218FA"/>
    <w:rsid w:val="00123975"/>
    <w:rsid w:val="001239F1"/>
    <w:rsid w:val="00123B23"/>
    <w:rsid w:val="00124629"/>
    <w:rsid w:val="00126019"/>
    <w:rsid w:val="0012644D"/>
    <w:rsid w:val="00127C7D"/>
    <w:rsid w:val="00130269"/>
    <w:rsid w:val="00131423"/>
    <w:rsid w:val="00132213"/>
    <w:rsid w:val="00133995"/>
    <w:rsid w:val="00133C5B"/>
    <w:rsid w:val="00133CDC"/>
    <w:rsid w:val="001343A0"/>
    <w:rsid w:val="00134800"/>
    <w:rsid w:val="00135B68"/>
    <w:rsid w:val="00135BA7"/>
    <w:rsid w:val="00136B3C"/>
    <w:rsid w:val="00137211"/>
    <w:rsid w:val="0013777B"/>
    <w:rsid w:val="00137F41"/>
    <w:rsid w:val="00140479"/>
    <w:rsid w:val="00140C90"/>
    <w:rsid w:val="00147495"/>
    <w:rsid w:val="00147732"/>
    <w:rsid w:val="00151744"/>
    <w:rsid w:val="00151C4D"/>
    <w:rsid w:val="00152109"/>
    <w:rsid w:val="0015231A"/>
    <w:rsid w:val="00153B7B"/>
    <w:rsid w:val="00160FEC"/>
    <w:rsid w:val="0016227B"/>
    <w:rsid w:val="00163E61"/>
    <w:rsid w:val="00165378"/>
    <w:rsid w:val="00165F8E"/>
    <w:rsid w:val="00170D39"/>
    <w:rsid w:val="00170DCA"/>
    <w:rsid w:val="0017132C"/>
    <w:rsid w:val="00171A34"/>
    <w:rsid w:val="00172BCE"/>
    <w:rsid w:val="001735AD"/>
    <w:rsid w:val="0017423F"/>
    <w:rsid w:val="00174C5E"/>
    <w:rsid w:val="00174CE9"/>
    <w:rsid w:val="00175BC0"/>
    <w:rsid w:val="00176F3C"/>
    <w:rsid w:val="00177A35"/>
    <w:rsid w:val="00180974"/>
    <w:rsid w:val="001827F9"/>
    <w:rsid w:val="00183124"/>
    <w:rsid w:val="00185A6A"/>
    <w:rsid w:val="00187B02"/>
    <w:rsid w:val="00191068"/>
    <w:rsid w:val="001913EB"/>
    <w:rsid w:val="0019140F"/>
    <w:rsid w:val="0019163A"/>
    <w:rsid w:val="00191D65"/>
    <w:rsid w:val="00192683"/>
    <w:rsid w:val="00192AA2"/>
    <w:rsid w:val="0019302B"/>
    <w:rsid w:val="001954C0"/>
    <w:rsid w:val="0019551E"/>
    <w:rsid w:val="001968E4"/>
    <w:rsid w:val="00196B13"/>
    <w:rsid w:val="00196E59"/>
    <w:rsid w:val="001975BF"/>
    <w:rsid w:val="00197787"/>
    <w:rsid w:val="001978DB"/>
    <w:rsid w:val="001A2946"/>
    <w:rsid w:val="001A4F82"/>
    <w:rsid w:val="001A61F1"/>
    <w:rsid w:val="001B100E"/>
    <w:rsid w:val="001B1093"/>
    <w:rsid w:val="001B140E"/>
    <w:rsid w:val="001B1828"/>
    <w:rsid w:val="001B2556"/>
    <w:rsid w:val="001B2FDF"/>
    <w:rsid w:val="001B375B"/>
    <w:rsid w:val="001B3F0D"/>
    <w:rsid w:val="001B510B"/>
    <w:rsid w:val="001B517B"/>
    <w:rsid w:val="001B5266"/>
    <w:rsid w:val="001B6427"/>
    <w:rsid w:val="001C098D"/>
    <w:rsid w:val="001C411B"/>
    <w:rsid w:val="001C5210"/>
    <w:rsid w:val="001C5714"/>
    <w:rsid w:val="001C6083"/>
    <w:rsid w:val="001C7D4E"/>
    <w:rsid w:val="001D087D"/>
    <w:rsid w:val="001D1E5A"/>
    <w:rsid w:val="001D23F5"/>
    <w:rsid w:val="001D2434"/>
    <w:rsid w:val="001D2D13"/>
    <w:rsid w:val="001D2D81"/>
    <w:rsid w:val="001D421B"/>
    <w:rsid w:val="001D4592"/>
    <w:rsid w:val="001D45DD"/>
    <w:rsid w:val="001D6C7D"/>
    <w:rsid w:val="001D7828"/>
    <w:rsid w:val="001E0329"/>
    <w:rsid w:val="001E0363"/>
    <w:rsid w:val="001E135B"/>
    <w:rsid w:val="001E18EF"/>
    <w:rsid w:val="001E1B61"/>
    <w:rsid w:val="001E2181"/>
    <w:rsid w:val="001E49DF"/>
    <w:rsid w:val="001E4B8B"/>
    <w:rsid w:val="001E58DB"/>
    <w:rsid w:val="001E5BA3"/>
    <w:rsid w:val="001E7432"/>
    <w:rsid w:val="001E7707"/>
    <w:rsid w:val="001E7A11"/>
    <w:rsid w:val="001F22EB"/>
    <w:rsid w:val="001F2491"/>
    <w:rsid w:val="001F2780"/>
    <w:rsid w:val="001F3F4F"/>
    <w:rsid w:val="00200F3E"/>
    <w:rsid w:val="002019FF"/>
    <w:rsid w:val="00202A7F"/>
    <w:rsid w:val="00204499"/>
    <w:rsid w:val="002064C5"/>
    <w:rsid w:val="00207121"/>
    <w:rsid w:val="0021296E"/>
    <w:rsid w:val="00212AF2"/>
    <w:rsid w:val="00214546"/>
    <w:rsid w:val="00214A83"/>
    <w:rsid w:val="002155E4"/>
    <w:rsid w:val="00216487"/>
    <w:rsid w:val="00216AA6"/>
    <w:rsid w:val="00216E37"/>
    <w:rsid w:val="00217419"/>
    <w:rsid w:val="0021755A"/>
    <w:rsid w:val="00217956"/>
    <w:rsid w:val="00220115"/>
    <w:rsid w:val="00220371"/>
    <w:rsid w:val="00222BED"/>
    <w:rsid w:val="00223F72"/>
    <w:rsid w:val="002240BC"/>
    <w:rsid w:val="00225678"/>
    <w:rsid w:val="00226500"/>
    <w:rsid w:val="0022710D"/>
    <w:rsid w:val="00227EE2"/>
    <w:rsid w:val="00233C41"/>
    <w:rsid w:val="00235A4F"/>
    <w:rsid w:val="0023766E"/>
    <w:rsid w:val="00245513"/>
    <w:rsid w:val="00250C6F"/>
    <w:rsid w:val="00251890"/>
    <w:rsid w:val="00253FF6"/>
    <w:rsid w:val="00254C3F"/>
    <w:rsid w:val="00256B48"/>
    <w:rsid w:val="00257A4A"/>
    <w:rsid w:val="0026195A"/>
    <w:rsid w:val="00261B32"/>
    <w:rsid w:val="00262EBD"/>
    <w:rsid w:val="00264B6C"/>
    <w:rsid w:val="002650F9"/>
    <w:rsid w:val="002652B0"/>
    <w:rsid w:val="00265937"/>
    <w:rsid w:val="00267715"/>
    <w:rsid w:val="002679E8"/>
    <w:rsid w:val="002718A5"/>
    <w:rsid w:val="00272C1F"/>
    <w:rsid w:val="00273E53"/>
    <w:rsid w:val="00275B5B"/>
    <w:rsid w:val="002762AA"/>
    <w:rsid w:val="00277718"/>
    <w:rsid w:val="00280041"/>
    <w:rsid w:val="00281E9A"/>
    <w:rsid w:val="002826AD"/>
    <w:rsid w:val="002831A3"/>
    <w:rsid w:val="0028354A"/>
    <w:rsid w:val="002869B0"/>
    <w:rsid w:val="002871FB"/>
    <w:rsid w:val="00287806"/>
    <w:rsid w:val="0028782E"/>
    <w:rsid w:val="002879ED"/>
    <w:rsid w:val="002915BC"/>
    <w:rsid w:val="00292576"/>
    <w:rsid w:val="00293237"/>
    <w:rsid w:val="0029464D"/>
    <w:rsid w:val="00294B4F"/>
    <w:rsid w:val="00294F80"/>
    <w:rsid w:val="002959B4"/>
    <w:rsid w:val="00295D96"/>
    <w:rsid w:val="00296161"/>
    <w:rsid w:val="002968A4"/>
    <w:rsid w:val="00297A07"/>
    <w:rsid w:val="002A09BB"/>
    <w:rsid w:val="002A0FBE"/>
    <w:rsid w:val="002A36F0"/>
    <w:rsid w:val="002A4358"/>
    <w:rsid w:val="002A50DA"/>
    <w:rsid w:val="002A5602"/>
    <w:rsid w:val="002A566B"/>
    <w:rsid w:val="002A7EE9"/>
    <w:rsid w:val="002B0232"/>
    <w:rsid w:val="002B08AE"/>
    <w:rsid w:val="002B187F"/>
    <w:rsid w:val="002B19FD"/>
    <w:rsid w:val="002B1DF1"/>
    <w:rsid w:val="002B387E"/>
    <w:rsid w:val="002B3C2F"/>
    <w:rsid w:val="002B440B"/>
    <w:rsid w:val="002B45FB"/>
    <w:rsid w:val="002B4E09"/>
    <w:rsid w:val="002B609F"/>
    <w:rsid w:val="002B72CB"/>
    <w:rsid w:val="002C0C09"/>
    <w:rsid w:val="002C3BCD"/>
    <w:rsid w:val="002C47EC"/>
    <w:rsid w:val="002C55EA"/>
    <w:rsid w:val="002C5A16"/>
    <w:rsid w:val="002D0785"/>
    <w:rsid w:val="002D10F3"/>
    <w:rsid w:val="002D1ED0"/>
    <w:rsid w:val="002D1FBB"/>
    <w:rsid w:val="002D6B59"/>
    <w:rsid w:val="002D7888"/>
    <w:rsid w:val="002E01A9"/>
    <w:rsid w:val="002E046D"/>
    <w:rsid w:val="002E1DEC"/>
    <w:rsid w:val="002E28A5"/>
    <w:rsid w:val="002F0E69"/>
    <w:rsid w:val="002F3293"/>
    <w:rsid w:val="002F3313"/>
    <w:rsid w:val="002F36AA"/>
    <w:rsid w:val="002F3F1A"/>
    <w:rsid w:val="002F4506"/>
    <w:rsid w:val="002F4B20"/>
    <w:rsid w:val="002F6EEE"/>
    <w:rsid w:val="00300552"/>
    <w:rsid w:val="00300B5E"/>
    <w:rsid w:val="003034CF"/>
    <w:rsid w:val="003042D6"/>
    <w:rsid w:val="00304F39"/>
    <w:rsid w:val="00305709"/>
    <w:rsid w:val="00305CF4"/>
    <w:rsid w:val="00305F77"/>
    <w:rsid w:val="003061EC"/>
    <w:rsid w:val="00306210"/>
    <w:rsid w:val="00306C15"/>
    <w:rsid w:val="003070CB"/>
    <w:rsid w:val="0030749B"/>
    <w:rsid w:val="00307686"/>
    <w:rsid w:val="0031033E"/>
    <w:rsid w:val="003106FC"/>
    <w:rsid w:val="003118EE"/>
    <w:rsid w:val="00312016"/>
    <w:rsid w:val="003136CA"/>
    <w:rsid w:val="0031561E"/>
    <w:rsid w:val="003172F1"/>
    <w:rsid w:val="003176AB"/>
    <w:rsid w:val="00320071"/>
    <w:rsid w:val="00321825"/>
    <w:rsid w:val="0032202D"/>
    <w:rsid w:val="003229D2"/>
    <w:rsid w:val="003238B7"/>
    <w:rsid w:val="003239CA"/>
    <w:rsid w:val="0032411B"/>
    <w:rsid w:val="003246C2"/>
    <w:rsid w:val="003251F8"/>
    <w:rsid w:val="003254A1"/>
    <w:rsid w:val="0032553C"/>
    <w:rsid w:val="00326C84"/>
    <w:rsid w:val="003303B8"/>
    <w:rsid w:val="003310DC"/>
    <w:rsid w:val="00335C71"/>
    <w:rsid w:val="003363F2"/>
    <w:rsid w:val="003371FA"/>
    <w:rsid w:val="00340C86"/>
    <w:rsid w:val="003423F6"/>
    <w:rsid w:val="00343442"/>
    <w:rsid w:val="0034509A"/>
    <w:rsid w:val="003459A2"/>
    <w:rsid w:val="00345CDD"/>
    <w:rsid w:val="003466DB"/>
    <w:rsid w:val="00347F37"/>
    <w:rsid w:val="00350508"/>
    <w:rsid w:val="00353A44"/>
    <w:rsid w:val="00353E9B"/>
    <w:rsid w:val="00356097"/>
    <w:rsid w:val="00356F73"/>
    <w:rsid w:val="0035771C"/>
    <w:rsid w:val="00360727"/>
    <w:rsid w:val="0036285D"/>
    <w:rsid w:val="00362BC2"/>
    <w:rsid w:val="003669B6"/>
    <w:rsid w:val="00366EFE"/>
    <w:rsid w:val="00367AA0"/>
    <w:rsid w:val="00367B0F"/>
    <w:rsid w:val="00370411"/>
    <w:rsid w:val="0037098A"/>
    <w:rsid w:val="003733A5"/>
    <w:rsid w:val="003739F7"/>
    <w:rsid w:val="003740AC"/>
    <w:rsid w:val="003759C7"/>
    <w:rsid w:val="00375A64"/>
    <w:rsid w:val="00376875"/>
    <w:rsid w:val="003769C4"/>
    <w:rsid w:val="00381B89"/>
    <w:rsid w:val="00382154"/>
    <w:rsid w:val="003822E7"/>
    <w:rsid w:val="003823C7"/>
    <w:rsid w:val="003824B3"/>
    <w:rsid w:val="00382D68"/>
    <w:rsid w:val="00383171"/>
    <w:rsid w:val="00386F28"/>
    <w:rsid w:val="00392346"/>
    <w:rsid w:val="00392AF4"/>
    <w:rsid w:val="00394BC9"/>
    <w:rsid w:val="0039786C"/>
    <w:rsid w:val="00397EDD"/>
    <w:rsid w:val="003A0DBA"/>
    <w:rsid w:val="003A1340"/>
    <w:rsid w:val="003A13F5"/>
    <w:rsid w:val="003A3F8E"/>
    <w:rsid w:val="003A4CAF"/>
    <w:rsid w:val="003A59BC"/>
    <w:rsid w:val="003A72D5"/>
    <w:rsid w:val="003A7D02"/>
    <w:rsid w:val="003A7D3E"/>
    <w:rsid w:val="003B0B8D"/>
    <w:rsid w:val="003B1904"/>
    <w:rsid w:val="003B1946"/>
    <w:rsid w:val="003B3997"/>
    <w:rsid w:val="003B5768"/>
    <w:rsid w:val="003B7C86"/>
    <w:rsid w:val="003C01B9"/>
    <w:rsid w:val="003C0202"/>
    <w:rsid w:val="003C1E8E"/>
    <w:rsid w:val="003C4CC4"/>
    <w:rsid w:val="003C58FE"/>
    <w:rsid w:val="003C75CB"/>
    <w:rsid w:val="003D4523"/>
    <w:rsid w:val="003D5065"/>
    <w:rsid w:val="003D53A7"/>
    <w:rsid w:val="003E0AE4"/>
    <w:rsid w:val="003E0D8E"/>
    <w:rsid w:val="003E13AE"/>
    <w:rsid w:val="003E243E"/>
    <w:rsid w:val="003E298F"/>
    <w:rsid w:val="003E2AEB"/>
    <w:rsid w:val="003E2BF3"/>
    <w:rsid w:val="003E6FDC"/>
    <w:rsid w:val="003E7003"/>
    <w:rsid w:val="003E7282"/>
    <w:rsid w:val="003E74ED"/>
    <w:rsid w:val="003E78C5"/>
    <w:rsid w:val="003E79F5"/>
    <w:rsid w:val="003F13BB"/>
    <w:rsid w:val="003F17BD"/>
    <w:rsid w:val="003F3015"/>
    <w:rsid w:val="003F33E6"/>
    <w:rsid w:val="003F3BFD"/>
    <w:rsid w:val="003F4BC9"/>
    <w:rsid w:val="003F7160"/>
    <w:rsid w:val="003F73E7"/>
    <w:rsid w:val="0040001E"/>
    <w:rsid w:val="004006CE"/>
    <w:rsid w:val="004020B3"/>
    <w:rsid w:val="00402282"/>
    <w:rsid w:val="004027FD"/>
    <w:rsid w:val="00407C97"/>
    <w:rsid w:val="00412C77"/>
    <w:rsid w:val="00412DB5"/>
    <w:rsid w:val="004134FC"/>
    <w:rsid w:val="00413A13"/>
    <w:rsid w:val="00413E7B"/>
    <w:rsid w:val="0041403C"/>
    <w:rsid w:val="00415A2A"/>
    <w:rsid w:val="00416ACB"/>
    <w:rsid w:val="00416EF3"/>
    <w:rsid w:val="004176D1"/>
    <w:rsid w:val="00417FDA"/>
    <w:rsid w:val="00420D31"/>
    <w:rsid w:val="00421915"/>
    <w:rsid w:val="0042474C"/>
    <w:rsid w:val="00424A99"/>
    <w:rsid w:val="00425FAC"/>
    <w:rsid w:val="00426002"/>
    <w:rsid w:val="00427338"/>
    <w:rsid w:val="004305FB"/>
    <w:rsid w:val="0043194C"/>
    <w:rsid w:val="00433781"/>
    <w:rsid w:val="00433A21"/>
    <w:rsid w:val="00434532"/>
    <w:rsid w:val="00434D66"/>
    <w:rsid w:val="00434F39"/>
    <w:rsid w:val="004356CE"/>
    <w:rsid w:val="00436C51"/>
    <w:rsid w:val="004375C9"/>
    <w:rsid w:val="00442D65"/>
    <w:rsid w:val="0044310C"/>
    <w:rsid w:val="0044322D"/>
    <w:rsid w:val="0044575F"/>
    <w:rsid w:val="00445D17"/>
    <w:rsid w:val="00447B47"/>
    <w:rsid w:val="00454312"/>
    <w:rsid w:val="00456C0F"/>
    <w:rsid w:val="00457B01"/>
    <w:rsid w:val="00460B7E"/>
    <w:rsid w:val="00465D3A"/>
    <w:rsid w:val="00466167"/>
    <w:rsid w:val="00467467"/>
    <w:rsid w:val="0046770C"/>
    <w:rsid w:val="004704B8"/>
    <w:rsid w:val="00470A9F"/>
    <w:rsid w:val="0047207F"/>
    <w:rsid w:val="004738A7"/>
    <w:rsid w:val="004742D5"/>
    <w:rsid w:val="00475C72"/>
    <w:rsid w:val="00480FFA"/>
    <w:rsid w:val="004813E7"/>
    <w:rsid w:val="00484544"/>
    <w:rsid w:val="00486223"/>
    <w:rsid w:val="004871C5"/>
    <w:rsid w:val="004873C8"/>
    <w:rsid w:val="00487F88"/>
    <w:rsid w:val="00490550"/>
    <w:rsid w:val="00491309"/>
    <w:rsid w:val="00493129"/>
    <w:rsid w:val="00493C9B"/>
    <w:rsid w:val="00493CCA"/>
    <w:rsid w:val="0049483B"/>
    <w:rsid w:val="004949BB"/>
    <w:rsid w:val="004963C2"/>
    <w:rsid w:val="004A0CC7"/>
    <w:rsid w:val="004A10FA"/>
    <w:rsid w:val="004A17D5"/>
    <w:rsid w:val="004A3934"/>
    <w:rsid w:val="004A75C0"/>
    <w:rsid w:val="004B137E"/>
    <w:rsid w:val="004B1893"/>
    <w:rsid w:val="004B4FAE"/>
    <w:rsid w:val="004B5B9F"/>
    <w:rsid w:val="004B6441"/>
    <w:rsid w:val="004B65B3"/>
    <w:rsid w:val="004C37D7"/>
    <w:rsid w:val="004C6ED2"/>
    <w:rsid w:val="004C78C1"/>
    <w:rsid w:val="004D0697"/>
    <w:rsid w:val="004D1A61"/>
    <w:rsid w:val="004D22EF"/>
    <w:rsid w:val="004D2690"/>
    <w:rsid w:val="004D391A"/>
    <w:rsid w:val="004D3F60"/>
    <w:rsid w:val="004D4379"/>
    <w:rsid w:val="004D582B"/>
    <w:rsid w:val="004D7D70"/>
    <w:rsid w:val="004E0478"/>
    <w:rsid w:val="004E2CDD"/>
    <w:rsid w:val="004E2F2C"/>
    <w:rsid w:val="004E39ED"/>
    <w:rsid w:val="004E3D8F"/>
    <w:rsid w:val="004F06F8"/>
    <w:rsid w:val="004F24D3"/>
    <w:rsid w:val="004F5299"/>
    <w:rsid w:val="005000C8"/>
    <w:rsid w:val="00501A1C"/>
    <w:rsid w:val="00501E74"/>
    <w:rsid w:val="005026AC"/>
    <w:rsid w:val="00503873"/>
    <w:rsid w:val="005039A9"/>
    <w:rsid w:val="00503F07"/>
    <w:rsid w:val="00504127"/>
    <w:rsid w:val="00506B4C"/>
    <w:rsid w:val="00506CDF"/>
    <w:rsid w:val="005076FD"/>
    <w:rsid w:val="00510D7D"/>
    <w:rsid w:val="0051123F"/>
    <w:rsid w:val="00512D26"/>
    <w:rsid w:val="00514136"/>
    <w:rsid w:val="00516205"/>
    <w:rsid w:val="00516CB3"/>
    <w:rsid w:val="00520468"/>
    <w:rsid w:val="0052101D"/>
    <w:rsid w:val="00521D9F"/>
    <w:rsid w:val="00522B53"/>
    <w:rsid w:val="00523A8C"/>
    <w:rsid w:val="00523F81"/>
    <w:rsid w:val="005245B5"/>
    <w:rsid w:val="005255FB"/>
    <w:rsid w:val="005256FD"/>
    <w:rsid w:val="0052586F"/>
    <w:rsid w:val="00527B17"/>
    <w:rsid w:val="00530237"/>
    <w:rsid w:val="0053027B"/>
    <w:rsid w:val="00530430"/>
    <w:rsid w:val="005305C5"/>
    <w:rsid w:val="00532075"/>
    <w:rsid w:val="00532175"/>
    <w:rsid w:val="00532528"/>
    <w:rsid w:val="00532FCA"/>
    <w:rsid w:val="005331AD"/>
    <w:rsid w:val="00533575"/>
    <w:rsid w:val="005336DF"/>
    <w:rsid w:val="00533FD1"/>
    <w:rsid w:val="0053426B"/>
    <w:rsid w:val="00535146"/>
    <w:rsid w:val="00535A74"/>
    <w:rsid w:val="00536B8F"/>
    <w:rsid w:val="00540805"/>
    <w:rsid w:val="00540C04"/>
    <w:rsid w:val="0054202B"/>
    <w:rsid w:val="00542390"/>
    <w:rsid w:val="005454D9"/>
    <w:rsid w:val="005466D4"/>
    <w:rsid w:val="00550246"/>
    <w:rsid w:val="0055558A"/>
    <w:rsid w:val="005604A9"/>
    <w:rsid w:val="00561CE7"/>
    <w:rsid w:val="00562A53"/>
    <w:rsid w:val="00562B0F"/>
    <w:rsid w:val="005652C9"/>
    <w:rsid w:val="005656D0"/>
    <w:rsid w:val="005660BD"/>
    <w:rsid w:val="005671AE"/>
    <w:rsid w:val="00567204"/>
    <w:rsid w:val="005718D8"/>
    <w:rsid w:val="00573060"/>
    <w:rsid w:val="00573A30"/>
    <w:rsid w:val="0057714C"/>
    <w:rsid w:val="00577568"/>
    <w:rsid w:val="00577B6F"/>
    <w:rsid w:val="00581433"/>
    <w:rsid w:val="00581935"/>
    <w:rsid w:val="00581A87"/>
    <w:rsid w:val="00581F10"/>
    <w:rsid w:val="005834BE"/>
    <w:rsid w:val="00584D63"/>
    <w:rsid w:val="00585C22"/>
    <w:rsid w:val="005861F1"/>
    <w:rsid w:val="00587768"/>
    <w:rsid w:val="00587BB0"/>
    <w:rsid w:val="00587D7C"/>
    <w:rsid w:val="00590D7A"/>
    <w:rsid w:val="00591956"/>
    <w:rsid w:val="00592B16"/>
    <w:rsid w:val="00592FFD"/>
    <w:rsid w:val="005931D4"/>
    <w:rsid w:val="0059354C"/>
    <w:rsid w:val="005A0883"/>
    <w:rsid w:val="005A22FC"/>
    <w:rsid w:val="005A59B2"/>
    <w:rsid w:val="005A5FF0"/>
    <w:rsid w:val="005B18A0"/>
    <w:rsid w:val="005B53F6"/>
    <w:rsid w:val="005B5694"/>
    <w:rsid w:val="005B727D"/>
    <w:rsid w:val="005C15A7"/>
    <w:rsid w:val="005C15BE"/>
    <w:rsid w:val="005C301C"/>
    <w:rsid w:val="005C43E4"/>
    <w:rsid w:val="005C5691"/>
    <w:rsid w:val="005C579B"/>
    <w:rsid w:val="005C6F3C"/>
    <w:rsid w:val="005C76A4"/>
    <w:rsid w:val="005C7B74"/>
    <w:rsid w:val="005D015C"/>
    <w:rsid w:val="005D0DD2"/>
    <w:rsid w:val="005D0F9C"/>
    <w:rsid w:val="005D2B95"/>
    <w:rsid w:val="005D4262"/>
    <w:rsid w:val="005D60E8"/>
    <w:rsid w:val="005D62A7"/>
    <w:rsid w:val="005D63B8"/>
    <w:rsid w:val="005D6C30"/>
    <w:rsid w:val="005E071C"/>
    <w:rsid w:val="005E0E98"/>
    <w:rsid w:val="005E1237"/>
    <w:rsid w:val="005E3147"/>
    <w:rsid w:val="005E3F8E"/>
    <w:rsid w:val="005E4FED"/>
    <w:rsid w:val="005E50AA"/>
    <w:rsid w:val="005E51B0"/>
    <w:rsid w:val="005E5D79"/>
    <w:rsid w:val="005E67EE"/>
    <w:rsid w:val="005E6926"/>
    <w:rsid w:val="005E724D"/>
    <w:rsid w:val="005F0B87"/>
    <w:rsid w:val="005F0E4D"/>
    <w:rsid w:val="005F28F3"/>
    <w:rsid w:val="005F314C"/>
    <w:rsid w:val="005F3772"/>
    <w:rsid w:val="005F6E81"/>
    <w:rsid w:val="005F6F3E"/>
    <w:rsid w:val="005F7C74"/>
    <w:rsid w:val="006019C1"/>
    <w:rsid w:val="006020A3"/>
    <w:rsid w:val="00603005"/>
    <w:rsid w:val="006046A1"/>
    <w:rsid w:val="00604712"/>
    <w:rsid w:val="0060741A"/>
    <w:rsid w:val="0060793B"/>
    <w:rsid w:val="00607D19"/>
    <w:rsid w:val="0061016C"/>
    <w:rsid w:val="00610989"/>
    <w:rsid w:val="0061317E"/>
    <w:rsid w:val="006135B8"/>
    <w:rsid w:val="006139CC"/>
    <w:rsid w:val="00613DA9"/>
    <w:rsid w:val="00614C5E"/>
    <w:rsid w:val="00615912"/>
    <w:rsid w:val="00615A73"/>
    <w:rsid w:val="00615F90"/>
    <w:rsid w:val="006203F9"/>
    <w:rsid w:val="0062064E"/>
    <w:rsid w:val="00620FD7"/>
    <w:rsid w:val="006228FE"/>
    <w:rsid w:val="00622CD3"/>
    <w:rsid w:val="0062362A"/>
    <w:rsid w:val="0062381B"/>
    <w:rsid w:val="00624423"/>
    <w:rsid w:val="006249FF"/>
    <w:rsid w:val="006253F4"/>
    <w:rsid w:val="00626F0F"/>
    <w:rsid w:val="006339D0"/>
    <w:rsid w:val="00634DA2"/>
    <w:rsid w:val="00636368"/>
    <w:rsid w:val="00636513"/>
    <w:rsid w:val="0063748F"/>
    <w:rsid w:val="00637B9F"/>
    <w:rsid w:val="0064072F"/>
    <w:rsid w:val="00640739"/>
    <w:rsid w:val="00644521"/>
    <w:rsid w:val="006455FA"/>
    <w:rsid w:val="006461D9"/>
    <w:rsid w:val="00646EED"/>
    <w:rsid w:val="00647DFA"/>
    <w:rsid w:val="00647F58"/>
    <w:rsid w:val="00651A8A"/>
    <w:rsid w:val="00651EBB"/>
    <w:rsid w:val="006541F0"/>
    <w:rsid w:val="00654511"/>
    <w:rsid w:val="00655023"/>
    <w:rsid w:val="006563F2"/>
    <w:rsid w:val="006571CB"/>
    <w:rsid w:val="00657EC1"/>
    <w:rsid w:val="00660E89"/>
    <w:rsid w:val="006610FD"/>
    <w:rsid w:val="00662014"/>
    <w:rsid w:val="0066246E"/>
    <w:rsid w:val="006644C2"/>
    <w:rsid w:val="006652C1"/>
    <w:rsid w:val="00667806"/>
    <w:rsid w:val="00670083"/>
    <w:rsid w:val="00670EF9"/>
    <w:rsid w:val="00671393"/>
    <w:rsid w:val="006713B6"/>
    <w:rsid w:val="0067206B"/>
    <w:rsid w:val="006731E8"/>
    <w:rsid w:val="00673642"/>
    <w:rsid w:val="00673B0C"/>
    <w:rsid w:val="0067467A"/>
    <w:rsid w:val="00674F3C"/>
    <w:rsid w:val="006763C8"/>
    <w:rsid w:val="0067795B"/>
    <w:rsid w:val="00680DA9"/>
    <w:rsid w:val="00681272"/>
    <w:rsid w:val="00681F3F"/>
    <w:rsid w:val="00683F60"/>
    <w:rsid w:val="00684987"/>
    <w:rsid w:val="0068503F"/>
    <w:rsid w:val="00686632"/>
    <w:rsid w:val="00687CC8"/>
    <w:rsid w:val="00691B80"/>
    <w:rsid w:val="006921C1"/>
    <w:rsid w:val="0069478A"/>
    <w:rsid w:val="0069520F"/>
    <w:rsid w:val="006963F0"/>
    <w:rsid w:val="006A006A"/>
    <w:rsid w:val="006A05D6"/>
    <w:rsid w:val="006A1743"/>
    <w:rsid w:val="006A1A33"/>
    <w:rsid w:val="006A4D5E"/>
    <w:rsid w:val="006A6365"/>
    <w:rsid w:val="006A6B0B"/>
    <w:rsid w:val="006A7981"/>
    <w:rsid w:val="006B128C"/>
    <w:rsid w:val="006B1320"/>
    <w:rsid w:val="006B1B87"/>
    <w:rsid w:val="006B24D8"/>
    <w:rsid w:val="006B2850"/>
    <w:rsid w:val="006B45F8"/>
    <w:rsid w:val="006B623B"/>
    <w:rsid w:val="006B661F"/>
    <w:rsid w:val="006B750D"/>
    <w:rsid w:val="006B7A08"/>
    <w:rsid w:val="006B7D4B"/>
    <w:rsid w:val="006C04F3"/>
    <w:rsid w:val="006C1084"/>
    <w:rsid w:val="006C12FB"/>
    <w:rsid w:val="006C22B7"/>
    <w:rsid w:val="006C282D"/>
    <w:rsid w:val="006C482D"/>
    <w:rsid w:val="006C51F8"/>
    <w:rsid w:val="006C5C0C"/>
    <w:rsid w:val="006C5D5C"/>
    <w:rsid w:val="006C6382"/>
    <w:rsid w:val="006C64E3"/>
    <w:rsid w:val="006D06D8"/>
    <w:rsid w:val="006D27AC"/>
    <w:rsid w:val="006D36D1"/>
    <w:rsid w:val="006D3E5A"/>
    <w:rsid w:val="006D4506"/>
    <w:rsid w:val="006E075E"/>
    <w:rsid w:val="006E0F0F"/>
    <w:rsid w:val="006E1558"/>
    <w:rsid w:val="006E2495"/>
    <w:rsid w:val="006E48AD"/>
    <w:rsid w:val="006E4E40"/>
    <w:rsid w:val="006E5FD3"/>
    <w:rsid w:val="006F184B"/>
    <w:rsid w:val="006F277A"/>
    <w:rsid w:val="006F343B"/>
    <w:rsid w:val="006F41D9"/>
    <w:rsid w:val="006F4AB9"/>
    <w:rsid w:val="006F5881"/>
    <w:rsid w:val="006F6861"/>
    <w:rsid w:val="006F6A2B"/>
    <w:rsid w:val="006F6AFE"/>
    <w:rsid w:val="006F6C84"/>
    <w:rsid w:val="006F7CB7"/>
    <w:rsid w:val="007023F0"/>
    <w:rsid w:val="00703683"/>
    <w:rsid w:val="0070372B"/>
    <w:rsid w:val="00704A03"/>
    <w:rsid w:val="00704E81"/>
    <w:rsid w:val="00705956"/>
    <w:rsid w:val="00705F44"/>
    <w:rsid w:val="0070642F"/>
    <w:rsid w:val="00707094"/>
    <w:rsid w:val="0070733B"/>
    <w:rsid w:val="00710429"/>
    <w:rsid w:val="007108D5"/>
    <w:rsid w:val="00710CDD"/>
    <w:rsid w:val="00710F1E"/>
    <w:rsid w:val="007119D5"/>
    <w:rsid w:val="007139D0"/>
    <w:rsid w:val="00713C75"/>
    <w:rsid w:val="0071538C"/>
    <w:rsid w:val="00715986"/>
    <w:rsid w:val="00715F34"/>
    <w:rsid w:val="007171DA"/>
    <w:rsid w:val="00720274"/>
    <w:rsid w:val="0072082C"/>
    <w:rsid w:val="0072163E"/>
    <w:rsid w:val="0072244D"/>
    <w:rsid w:val="00722524"/>
    <w:rsid w:val="00723247"/>
    <w:rsid w:val="007268AF"/>
    <w:rsid w:val="007268DC"/>
    <w:rsid w:val="00730D8B"/>
    <w:rsid w:val="007340B1"/>
    <w:rsid w:val="007356B9"/>
    <w:rsid w:val="007365DD"/>
    <w:rsid w:val="00736E62"/>
    <w:rsid w:val="00741123"/>
    <w:rsid w:val="00741894"/>
    <w:rsid w:val="00742A9D"/>
    <w:rsid w:val="00742D64"/>
    <w:rsid w:val="00743251"/>
    <w:rsid w:val="007439B5"/>
    <w:rsid w:val="00745AE8"/>
    <w:rsid w:val="00745C5D"/>
    <w:rsid w:val="00747D6C"/>
    <w:rsid w:val="0075063A"/>
    <w:rsid w:val="00751380"/>
    <w:rsid w:val="007514AD"/>
    <w:rsid w:val="007529D8"/>
    <w:rsid w:val="00753528"/>
    <w:rsid w:val="00753AC9"/>
    <w:rsid w:val="00755A5E"/>
    <w:rsid w:val="00756EA6"/>
    <w:rsid w:val="007614E1"/>
    <w:rsid w:val="00761F57"/>
    <w:rsid w:val="007622BF"/>
    <w:rsid w:val="00762721"/>
    <w:rsid w:val="007655F6"/>
    <w:rsid w:val="0076656B"/>
    <w:rsid w:val="00766780"/>
    <w:rsid w:val="00766E76"/>
    <w:rsid w:val="00767657"/>
    <w:rsid w:val="00767F6C"/>
    <w:rsid w:val="00770080"/>
    <w:rsid w:val="007700B8"/>
    <w:rsid w:val="00770637"/>
    <w:rsid w:val="00770CE2"/>
    <w:rsid w:val="00772154"/>
    <w:rsid w:val="0077335E"/>
    <w:rsid w:val="007744E4"/>
    <w:rsid w:val="00774FE9"/>
    <w:rsid w:val="007754DB"/>
    <w:rsid w:val="007755AF"/>
    <w:rsid w:val="0077571F"/>
    <w:rsid w:val="00775BC8"/>
    <w:rsid w:val="00776828"/>
    <w:rsid w:val="007770C6"/>
    <w:rsid w:val="007770F2"/>
    <w:rsid w:val="007779E6"/>
    <w:rsid w:val="00777D28"/>
    <w:rsid w:val="00780700"/>
    <w:rsid w:val="00780B1B"/>
    <w:rsid w:val="00781009"/>
    <w:rsid w:val="007823D3"/>
    <w:rsid w:val="00782532"/>
    <w:rsid w:val="00782D3B"/>
    <w:rsid w:val="00784017"/>
    <w:rsid w:val="00784046"/>
    <w:rsid w:val="007858E3"/>
    <w:rsid w:val="007866D1"/>
    <w:rsid w:val="00787B2B"/>
    <w:rsid w:val="00787FD6"/>
    <w:rsid w:val="00790A14"/>
    <w:rsid w:val="00791637"/>
    <w:rsid w:val="00792E64"/>
    <w:rsid w:val="00794414"/>
    <w:rsid w:val="00796A48"/>
    <w:rsid w:val="007A12A5"/>
    <w:rsid w:val="007A401D"/>
    <w:rsid w:val="007A5BC8"/>
    <w:rsid w:val="007A6681"/>
    <w:rsid w:val="007A715D"/>
    <w:rsid w:val="007A7920"/>
    <w:rsid w:val="007B2301"/>
    <w:rsid w:val="007B2BEB"/>
    <w:rsid w:val="007B72F7"/>
    <w:rsid w:val="007C1294"/>
    <w:rsid w:val="007C12D7"/>
    <w:rsid w:val="007C2D10"/>
    <w:rsid w:val="007C4D81"/>
    <w:rsid w:val="007C52A5"/>
    <w:rsid w:val="007C55A6"/>
    <w:rsid w:val="007D11EC"/>
    <w:rsid w:val="007D16F4"/>
    <w:rsid w:val="007D1A1C"/>
    <w:rsid w:val="007D1B04"/>
    <w:rsid w:val="007D20F1"/>
    <w:rsid w:val="007D2951"/>
    <w:rsid w:val="007D304D"/>
    <w:rsid w:val="007D45AB"/>
    <w:rsid w:val="007D568C"/>
    <w:rsid w:val="007D724F"/>
    <w:rsid w:val="007D746D"/>
    <w:rsid w:val="007D7585"/>
    <w:rsid w:val="007D78FF"/>
    <w:rsid w:val="007D798F"/>
    <w:rsid w:val="007E024F"/>
    <w:rsid w:val="007E041C"/>
    <w:rsid w:val="007E2C98"/>
    <w:rsid w:val="007E3A00"/>
    <w:rsid w:val="007E3FEA"/>
    <w:rsid w:val="007E4532"/>
    <w:rsid w:val="007E5FB1"/>
    <w:rsid w:val="007F00F8"/>
    <w:rsid w:val="007F0AA5"/>
    <w:rsid w:val="007F2B45"/>
    <w:rsid w:val="007F38E3"/>
    <w:rsid w:val="007F42D1"/>
    <w:rsid w:val="007F714D"/>
    <w:rsid w:val="00800385"/>
    <w:rsid w:val="00802632"/>
    <w:rsid w:val="0080504D"/>
    <w:rsid w:val="00813152"/>
    <w:rsid w:val="008145D1"/>
    <w:rsid w:val="0081463D"/>
    <w:rsid w:val="008171C9"/>
    <w:rsid w:val="00817207"/>
    <w:rsid w:val="00817F67"/>
    <w:rsid w:val="0082089E"/>
    <w:rsid w:val="008224EB"/>
    <w:rsid w:val="00823022"/>
    <w:rsid w:val="008263E2"/>
    <w:rsid w:val="00826DD5"/>
    <w:rsid w:val="0082772E"/>
    <w:rsid w:val="008320EA"/>
    <w:rsid w:val="00834BC3"/>
    <w:rsid w:val="00836E31"/>
    <w:rsid w:val="00841F4C"/>
    <w:rsid w:val="0084348D"/>
    <w:rsid w:val="0084496F"/>
    <w:rsid w:val="00844D41"/>
    <w:rsid w:val="0084768B"/>
    <w:rsid w:val="00850544"/>
    <w:rsid w:val="00851789"/>
    <w:rsid w:val="008528BF"/>
    <w:rsid w:val="00852CB2"/>
    <w:rsid w:val="00853BCD"/>
    <w:rsid w:val="00853C08"/>
    <w:rsid w:val="00853E1D"/>
    <w:rsid w:val="00853E5C"/>
    <w:rsid w:val="00853FCA"/>
    <w:rsid w:val="00854E60"/>
    <w:rsid w:val="00857A3C"/>
    <w:rsid w:val="0086057E"/>
    <w:rsid w:val="008616B0"/>
    <w:rsid w:val="00864057"/>
    <w:rsid w:val="00867E10"/>
    <w:rsid w:val="00870F81"/>
    <w:rsid w:val="00874336"/>
    <w:rsid w:val="0087434D"/>
    <w:rsid w:val="00874D86"/>
    <w:rsid w:val="008758F5"/>
    <w:rsid w:val="0087657F"/>
    <w:rsid w:val="0087706C"/>
    <w:rsid w:val="008800FA"/>
    <w:rsid w:val="008805E6"/>
    <w:rsid w:val="00880729"/>
    <w:rsid w:val="0088073F"/>
    <w:rsid w:val="00881667"/>
    <w:rsid w:val="00882B8D"/>
    <w:rsid w:val="00883089"/>
    <w:rsid w:val="00883F9E"/>
    <w:rsid w:val="008871E1"/>
    <w:rsid w:val="00890590"/>
    <w:rsid w:val="00891723"/>
    <w:rsid w:val="00891C78"/>
    <w:rsid w:val="00892BE4"/>
    <w:rsid w:val="008932DA"/>
    <w:rsid w:val="008938B9"/>
    <w:rsid w:val="00894DFC"/>
    <w:rsid w:val="008958C0"/>
    <w:rsid w:val="008969B8"/>
    <w:rsid w:val="008A0DE9"/>
    <w:rsid w:val="008A2AC8"/>
    <w:rsid w:val="008A371A"/>
    <w:rsid w:val="008A38F5"/>
    <w:rsid w:val="008A433E"/>
    <w:rsid w:val="008A4B34"/>
    <w:rsid w:val="008A6B4C"/>
    <w:rsid w:val="008B134C"/>
    <w:rsid w:val="008B3698"/>
    <w:rsid w:val="008B4061"/>
    <w:rsid w:val="008B5747"/>
    <w:rsid w:val="008B58A7"/>
    <w:rsid w:val="008B5D92"/>
    <w:rsid w:val="008B61B5"/>
    <w:rsid w:val="008B6CD0"/>
    <w:rsid w:val="008C36BB"/>
    <w:rsid w:val="008C3E45"/>
    <w:rsid w:val="008C49A4"/>
    <w:rsid w:val="008C4E33"/>
    <w:rsid w:val="008C588D"/>
    <w:rsid w:val="008C61CB"/>
    <w:rsid w:val="008C6CE3"/>
    <w:rsid w:val="008C7425"/>
    <w:rsid w:val="008C7C59"/>
    <w:rsid w:val="008C7DBC"/>
    <w:rsid w:val="008D085E"/>
    <w:rsid w:val="008D3145"/>
    <w:rsid w:val="008D5A3E"/>
    <w:rsid w:val="008D79E5"/>
    <w:rsid w:val="008E17A7"/>
    <w:rsid w:val="008E610D"/>
    <w:rsid w:val="008E6561"/>
    <w:rsid w:val="008E6B20"/>
    <w:rsid w:val="008E6F48"/>
    <w:rsid w:val="008E7325"/>
    <w:rsid w:val="008E7FCB"/>
    <w:rsid w:val="008F0A47"/>
    <w:rsid w:val="008F340C"/>
    <w:rsid w:val="008F4C4C"/>
    <w:rsid w:val="008F68A2"/>
    <w:rsid w:val="008F77A7"/>
    <w:rsid w:val="008F78DD"/>
    <w:rsid w:val="0090080A"/>
    <w:rsid w:val="009009A9"/>
    <w:rsid w:val="00900E0B"/>
    <w:rsid w:val="00900EC7"/>
    <w:rsid w:val="00901B62"/>
    <w:rsid w:val="00902703"/>
    <w:rsid w:val="00903302"/>
    <w:rsid w:val="009036DB"/>
    <w:rsid w:val="00913458"/>
    <w:rsid w:val="00914019"/>
    <w:rsid w:val="00914AB5"/>
    <w:rsid w:val="009156B8"/>
    <w:rsid w:val="0091736C"/>
    <w:rsid w:val="00920B00"/>
    <w:rsid w:val="00920CDB"/>
    <w:rsid w:val="009225A2"/>
    <w:rsid w:val="009233CC"/>
    <w:rsid w:val="00924412"/>
    <w:rsid w:val="009244F9"/>
    <w:rsid w:val="0092455E"/>
    <w:rsid w:val="00927DE6"/>
    <w:rsid w:val="0093055D"/>
    <w:rsid w:val="00931964"/>
    <w:rsid w:val="00932F22"/>
    <w:rsid w:val="009330C0"/>
    <w:rsid w:val="00934157"/>
    <w:rsid w:val="009342B9"/>
    <w:rsid w:val="009366F4"/>
    <w:rsid w:val="00936CD0"/>
    <w:rsid w:val="0093710C"/>
    <w:rsid w:val="0093752C"/>
    <w:rsid w:val="0093756F"/>
    <w:rsid w:val="00937619"/>
    <w:rsid w:val="00940685"/>
    <w:rsid w:val="00940A3E"/>
    <w:rsid w:val="00943514"/>
    <w:rsid w:val="00943C7E"/>
    <w:rsid w:val="0094610E"/>
    <w:rsid w:val="00947220"/>
    <w:rsid w:val="00947436"/>
    <w:rsid w:val="009548C4"/>
    <w:rsid w:val="00956B35"/>
    <w:rsid w:val="00960D7F"/>
    <w:rsid w:val="00962399"/>
    <w:rsid w:val="009624D8"/>
    <w:rsid w:val="00962ED6"/>
    <w:rsid w:val="00964D86"/>
    <w:rsid w:val="009650C2"/>
    <w:rsid w:val="00967BDF"/>
    <w:rsid w:val="00972349"/>
    <w:rsid w:val="00974A83"/>
    <w:rsid w:val="0097583A"/>
    <w:rsid w:val="009758B9"/>
    <w:rsid w:val="00975998"/>
    <w:rsid w:val="009760E7"/>
    <w:rsid w:val="0097675C"/>
    <w:rsid w:val="00976E4A"/>
    <w:rsid w:val="009802DB"/>
    <w:rsid w:val="0098211A"/>
    <w:rsid w:val="009823E8"/>
    <w:rsid w:val="00982B9E"/>
    <w:rsid w:val="00983275"/>
    <w:rsid w:val="00986E6B"/>
    <w:rsid w:val="00987AA8"/>
    <w:rsid w:val="00987B9B"/>
    <w:rsid w:val="00991FDD"/>
    <w:rsid w:val="00992E51"/>
    <w:rsid w:val="009939D7"/>
    <w:rsid w:val="00995860"/>
    <w:rsid w:val="00995A06"/>
    <w:rsid w:val="009A08DB"/>
    <w:rsid w:val="009A1A52"/>
    <w:rsid w:val="009A1E4C"/>
    <w:rsid w:val="009A271B"/>
    <w:rsid w:val="009A28D4"/>
    <w:rsid w:val="009A368F"/>
    <w:rsid w:val="009A416C"/>
    <w:rsid w:val="009A4F50"/>
    <w:rsid w:val="009A5B39"/>
    <w:rsid w:val="009A62EC"/>
    <w:rsid w:val="009A79DC"/>
    <w:rsid w:val="009B006B"/>
    <w:rsid w:val="009B0EF3"/>
    <w:rsid w:val="009B130F"/>
    <w:rsid w:val="009B17D4"/>
    <w:rsid w:val="009B1E47"/>
    <w:rsid w:val="009B2015"/>
    <w:rsid w:val="009B2CFB"/>
    <w:rsid w:val="009C049A"/>
    <w:rsid w:val="009C0BB7"/>
    <w:rsid w:val="009C17B7"/>
    <w:rsid w:val="009C1FAA"/>
    <w:rsid w:val="009C29EC"/>
    <w:rsid w:val="009C50B4"/>
    <w:rsid w:val="009C56B3"/>
    <w:rsid w:val="009D0336"/>
    <w:rsid w:val="009D1D28"/>
    <w:rsid w:val="009D3861"/>
    <w:rsid w:val="009D78FD"/>
    <w:rsid w:val="009E176D"/>
    <w:rsid w:val="009E2525"/>
    <w:rsid w:val="009E26E7"/>
    <w:rsid w:val="009E30CC"/>
    <w:rsid w:val="009E5EA1"/>
    <w:rsid w:val="009E6027"/>
    <w:rsid w:val="009E62B3"/>
    <w:rsid w:val="009F1956"/>
    <w:rsid w:val="009F3260"/>
    <w:rsid w:val="009F3827"/>
    <w:rsid w:val="009F38E6"/>
    <w:rsid w:val="009F5C3B"/>
    <w:rsid w:val="00A02BDB"/>
    <w:rsid w:val="00A05080"/>
    <w:rsid w:val="00A061AE"/>
    <w:rsid w:val="00A06E72"/>
    <w:rsid w:val="00A07E8C"/>
    <w:rsid w:val="00A07F85"/>
    <w:rsid w:val="00A172B7"/>
    <w:rsid w:val="00A17AA5"/>
    <w:rsid w:val="00A20753"/>
    <w:rsid w:val="00A212A0"/>
    <w:rsid w:val="00A2260D"/>
    <w:rsid w:val="00A22FD3"/>
    <w:rsid w:val="00A23D37"/>
    <w:rsid w:val="00A23F7D"/>
    <w:rsid w:val="00A2555F"/>
    <w:rsid w:val="00A26345"/>
    <w:rsid w:val="00A3067C"/>
    <w:rsid w:val="00A31650"/>
    <w:rsid w:val="00A3278E"/>
    <w:rsid w:val="00A360BB"/>
    <w:rsid w:val="00A36BB2"/>
    <w:rsid w:val="00A405B7"/>
    <w:rsid w:val="00A40E53"/>
    <w:rsid w:val="00A41750"/>
    <w:rsid w:val="00A42904"/>
    <w:rsid w:val="00A43132"/>
    <w:rsid w:val="00A4326F"/>
    <w:rsid w:val="00A43AAB"/>
    <w:rsid w:val="00A441B1"/>
    <w:rsid w:val="00A44D60"/>
    <w:rsid w:val="00A506C0"/>
    <w:rsid w:val="00A51A8D"/>
    <w:rsid w:val="00A51F71"/>
    <w:rsid w:val="00A5223F"/>
    <w:rsid w:val="00A5355D"/>
    <w:rsid w:val="00A56E08"/>
    <w:rsid w:val="00A57A6D"/>
    <w:rsid w:val="00A60319"/>
    <w:rsid w:val="00A6262D"/>
    <w:rsid w:val="00A636A3"/>
    <w:rsid w:val="00A63839"/>
    <w:rsid w:val="00A644EA"/>
    <w:rsid w:val="00A64722"/>
    <w:rsid w:val="00A66593"/>
    <w:rsid w:val="00A67E01"/>
    <w:rsid w:val="00A71439"/>
    <w:rsid w:val="00A73370"/>
    <w:rsid w:val="00A740AB"/>
    <w:rsid w:val="00A75E53"/>
    <w:rsid w:val="00A75FBF"/>
    <w:rsid w:val="00A772A0"/>
    <w:rsid w:val="00A82E36"/>
    <w:rsid w:val="00A83279"/>
    <w:rsid w:val="00A84416"/>
    <w:rsid w:val="00A852E5"/>
    <w:rsid w:val="00A87982"/>
    <w:rsid w:val="00A90321"/>
    <w:rsid w:val="00A9050C"/>
    <w:rsid w:val="00A90F29"/>
    <w:rsid w:val="00A923E8"/>
    <w:rsid w:val="00A92B0C"/>
    <w:rsid w:val="00A93C96"/>
    <w:rsid w:val="00A94052"/>
    <w:rsid w:val="00A9440B"/>
    <w:rsid w:val="00A9489C"/>
    <w:rsid w:val="00A9597E"/>
    <w:rsid w:val="00A96E5B"/>
    <w:rsid w:val="00AA0913"/>
    <w:rsid w:val="00AA0AAC"/>
    <w:rsid w:val="00AA1796"/>
    <w:rsid w:val="00AA31F9"/>
    <w:rsid w:val="00AA5A1D"/>
    <w:rsid w:val="00AA6D92"/>
    <w:rsid w:val="00AA708E"/>
    <w:rsid w:val="00AA72F3"/>
    <w:rsid w:val="00AB0386"/>
    <w:rsid w:val="00AB2302"/>
    <w:rsid w:val="00AB2A33"/>
    <w:rsid w:val="00AB3FC2"/>
    <w:rsid w:val="00AB6F55"/>
    <w:rsid w:val="00AB7561"/>
    <w:rsid w:val="00AB7669"/>
    <w:rsid w:val="00AB7D7C"/>
    <w:rsid w:val="00AC15C9"/>
    <w:rsid w:val="00AC23AC"/>
    <w:rsid w:val="00AC30A6"/>
    <w:rsid w:val="00AC3E55"/>
    <w:rsid w:val="00AC63DD"/>
    <w:rsid w:val="00AC644F"/>
    <w:rsid w:val="00AC6500"/>
    <w:rsid w:val="00AC6B0E"/>
    <w:rsid w:val="00AD00D8"/>
    <w:rsid w:val="00AD11C4"/>
    <w:rsid w:val="00AD1431"/>
    <w:rsid w:val="00AD161D"/>
    <w:rsid w:val="00AD6A82"/>
    <w:rsid w:val="00AD78FF"/>
    <w:rsid w:val="00AD7972"/>
    <w:rsid w:val="00AE1170"/>
    <w:rsid w:val="00AE2A06"/>
    <w:rsid w:val="00AE2A40"/>
    <w:rsid w:val="00AE397C"/>
    <w:rsid w:val="00AE4FD1"/>
    <w:rsid w:val="00AE5667"/>
    <w:rsid w:val="00AE58D0"/>
    <w:rsid w:val="00AE7A68"/>
    <w:rsid w:val="00AF1684"/>
    <w:rsid w:val="00AF1A5B"/>
    <w:rsid w:val="00AF2E0A"/>
    <w:rsid w:val="00AF2F7F"/>
    <w:rsid w:val="00AF33F2"/>
    <w:rsid w:val="00AF552A"/>
    <w:rsid w:val="00AF56D8"/>
    <w:rsid w:val="00AF5C55"/>
    <w:rsid w:val="00B000F4"/>
    <w:rsid w:val="00B0017A"/>
    <w:rsid w:val="00B01933"/>
    <w:rsid w:val="00B01E5D"/>
    <w:rsid w:val="00B06102"/>
    <w:rsid w:val="00B06A4F"/>
    <w:rsid w:val="00B10188"/>
    <w:rsid w:val="00B1059E"/>
    <w:rsid w:val="00B13CD1"/>
    <w:rsid w:val="00B15401"/>
    <w:rsid w:val="00B15520"/>
    <w:rsid w:val="00B17369"/>
    <w:rsid w:val="00B17485"/>
    <w:rsid w:val="00B17D76"/>
    <w:rsid w:val="00B20996"/>
    <w:rsid w:val="00B21F8E"/>
    <w:rsid w:val="00B23279"/>
    <w:rsid w:val="00B245D8"/>
    <w:rsid w:val="00B2599C"/>
    <w:rsid w:val="00B25FC4"/>
    <w:rsid w:val="00B2636A"/>
    <w:rsid w:val="00B26AA4"/>
    <w:rsid w:val="00B26FB4"/>
    <w:rsid w:val="00B27EA5"/>
    <w:rsid w:val="00B314E3"/>
    <w:rsid w:val="00B3154F"/>
    <w:rsid w:val="00B32248"/>
    <w:rsid w:val="00B32520"/>
    <w:rsid w:val="00B328BB"/>
    <w:rsid w:val="00B332EC"/>
    <w:rsid w:val="00B34294"/>
    <w:rsid w:val="00B34648"/>
    <w:rsid w:val="00B355C5"/>
    <w:rsid w:val="00B41632"/>
    <w:rsid w:val="00B4296E"/>
    <w:rsid w:val="00B43595"/>
    <w:rsid w:val="00B4616D"/>
    <w:rsid w:val="00B47023"/>
    <w:rsid w:val="00B504BF"/>
    <w:rsid w:val="00B51AE4"/>
    <w:rsid w:val="00B51D89"/>
    <w:rsid w:val="00B520F7"/>
    <w:rsid w:val="00B572F2"/>
    <w:rsid w:val="00B61278"/>
    <w:rsid w:val="00B62F36"/>
    <w:rsid w:val="00B6306A"/>
    <w:rsid w:val="00B6759C"/>
    <w:rsid w:val="00B7108A"/>
    <w:rsid w:val="00B7283E"/>
    <w:rsid w:val="00B72BE8"/>
    <w:rsid w:val="00B7354F"/>
    <w:rsid w:val="00B73A2E"/>
    <w:rsid w:val="00B73C8C"/>
    <w:rsid w:val="00B74721"/>
    <w:rsid w:val="00B752F7"/>
    <w:rsid w:val="00B75C96"/>
    <w:rsid w:val="00B764AF"/>
    <w:rsid w:val="00B77371"/>
    <w:rsid w:val="00B811DF"/>
    <w:rsid w:val="00B8139B"/>
    <w:rsid w:val="00B81CF8"/>
    <w:rsid w:val="00B86276"/>
    <w:rsid w:val="00B91105"/>
    <w:rsid w:val="00B918A8"/>
    <w:rsid w:val="00B91CCA"/>
    <w:rsid w:val="00B9253D"/>
    <w:rsid w:val="00B9277B"/>
    <w:rsid w:val="00B92C37"/>
    <w:rsid w:val="00B945D8"/>
    <w:rsid w:val="00B951D7"/>
    <w:rsid w:val="00B9632D"/>
    <w:rsid w:val="00B966DC"/>
    <w:rsid w:val="00B96B69"/>
    <w:rsid w:val="00BA049B"/>
    <w:rsid w:val="00BA1E92"/>
    <w:rsid w:val="00BA24F5"/>
    <w:rsid w:val="00BA2E8F"/>
    <w:rsid w:val="00BA2F26"/>
    <w:rsid w:val="00BA4EDA"/>
    <w:rsid w:val="00BA5F16"/>
    <w:rsid w:val="00BA612F"/>
    <w:rsid w:val="00BB2011"/>
    <w:rsid w:val="00BB3C75"/>
    <w:rsid w:val="00BB4536"/>
    <w:rsid w:val="00BB4815"/>
    <w:rsid w:val="00BB5CBE"/>
    <w:rsid w:val="00BC0503"/>
    <w:rsid w:val="00BC1586"/>
    <w:rsid w:val="00BC35E8"/>
    <w:rsid w:val="00BC63C0"/>
    <w:rsid w:val="00BC7E5A"/>
    <w:rsid w:val="00BD1864"/>
    <w:rsid w:val="00BD52EF"/>
    <w:rsid w:val="00BD60C0"/>
    <w:rsid w:val="00BD7B01"/>
    <w:rsid w:val="00BE12FD"/>
    <w:rsid w:val="00BE160B"/>
    <w:rsid w:val="00BE1628"/>
    <w:rsid w:val="00BE3793"/>
    <w:rsid w:val="00BE38D9"/>
    <w:rsid w:val="00BE44AE"/>
    <w:rsid w:val="00BF05FC"/>
    <w:rsid w:val="00BF0BEF"/>
    <w:rsid w:val="00BF1386"/>
    <w:rsid w:val="00BF4284"/>
    <w:rsid w:val="00BF4BED"/>
    <w:rsid w:val="00BF4CD9"/>
    <w:rsid w:val="00BF6576"/>
    <w:rsid w:val="00BF7A72"/>
    <w:rsid w:val="00C013C8"/>
    <w:rsid w:val="00C041BF"/>
    <w:rsid w:val="00C060AF"/>
    <w:rsid w:val="00C063E2"/>
    <w:rsid w:val="00C07E17"/>
    <w:rsid w:val="00C108E2"/>
    <w:rsid w:val="00C11A5E"/>
    <w:rsid w:val="00C11C7B"/>
    <w:rsid w:val="00C1274F"/>
    <w:rsid w:val="00C13440"/>
    <w:rsid w:val="00C143DD"/>
    <w:rsid w:val="00C15D3B"/>
    <w:rsid w:val="00C1625F"/>
    <w:rsid w:val="00C164BF"/>
    <w:rsid w:val="00C1676B"/>
    <w:rsid w:val="00C17ADE"/>
    <w:rsid w:val="00C207AE"/>
    <w:rsid w:val="00C20F4D"/>
    <w:rsid w:val="00C21377"/>
    <w:rsid w:val="00C219BC"/>
    <w:rsid w:val="00C223DA"/>
    <w:rsid w:val="00C22FB6"/>
    <w:rsid w:val="00C2465D"/>
    <w:rsid w:val="00C259CE"/>
    <w:rsid w:val="00C26021"/>
    <w:rsid w:val="00C27A20"/>
    <w:rsid w:val="00C33BF2"/>
    <w:rsid w:val="00C35198"/>
    <w:rsid w:val="00C364BC"/>
    <w:rsid w:val="00C36B31"/>
    <w:rsid w:val="00C37326"/>
    <w:rsid w:val="00C40252"/>
    <w:rsid w:val="00C4197B"/>
    <w:rsid w:val="00C41FAC"/>
    <w:rsid w:val="00C432FB"/>
    <w:rsid w:val="00C43300"/>
    <w:rsid w:val="00C44ABC"/>
    <w:rsid w:val="00C44DF4"/>
    <w:rsid w:val="00C475D8"/>
    <w:rsid w:val="00C47843"/>
    <w:rsid w:val="00C50130"/>
    <w:rsid w:val="00C502DB"/>
    <w:rsid w:val="00C506BF"/>
    <w:rsid w:val="00C51C01"/>
    <w:rsid w:val="00C52137"/>
    <w:rsid w:val="00C52229"/>
    <w:rsid w:val="00C526A3"/>
    <w:rsid w:val="00C55141"/>
    <w:rsid w:val="00C55557"/>
    <w:rsid w:val="00C55C3B"/>
    <w:rsid w:val="00C57548"/>
    <w:rsid w:val="00C57F89"/>
    <w:rsid w:val="00C6048E"/>
    <w:rsid w:val="00C60FA6"/>
    <w:rsid w:val="00C61E1F"/>
    <w:rsid w:val="00C63B05"/>
    <w:rsid w:val="00C63E2C"/>
    <w:rsid w:val="00C652A7"/>
    <w:rsid w:val="00C675D4"/>
    <w:rsid w:val="00C71822"/>
    <w:rsid w:val="00C7365E"/>
    <w:rsid w:val="00C74E37"/>
    <w:rsid w:val="00C77CB0"/>
    <w:rsid w:val="00C8001D"/>
    <w:rsid w:val="00C800AE"/>
    <w:rsid w:val="00C8017E"/>
    <w:rsid w:val="00C81FBA"/>
    <w:rsid w:val="00C8366F"/>
    <w:rsid w:val="00C83B92"/>
    <w:rsid w:val="00C83CFE"/>
    <w:rsid w:val="00C8569E"/>
    <w:rsid w:val="00C87BC9"/>
    <w:rsid w:val="00C90C53"/>
    <w:rsid w:val="00C91181"/>
    <w:rsid w:val="00C91B4C"/>
    <w:rsid w:val="00C92E91"/>
    <w:rsid w:val="00C936C0"/>
    <w:rsid w:val="00C93E07"/>
    <w:rsid w:val="00C95726"/>
    <w:rsid w:val="00C97F55"/>
    <w:rsid w:val="00CA0124"/>
    <w:rsid w:val="00CA0D5E"/>
    <w:rsid w:val="00CA16B2"/>
    <w:rsid w:val="00CA1D15"/>
    <w:rsid w:val="00CA1FE3"/>
    <w:rsid w:val="00CA4580"/>
    <w:rsid w:val="00CA5AD3"/>
    <w:rsid w:val="00CA7746"/>
    <w:rsid w:val="00CB0CD6"/>
    <w:rsid w:val="00CB1D74"/>
    <w:rsid w:val="00CB24C7"/>
    <w:rsid w:val="00CB2C49"/>
    <w:rsid w:val="00CB30F0"/>
    <w:rsid w:val="00CB3244"/>
    <w:rsid w:val="00CB5283"/>
    <w:rsid w:val="00CB7D3C"/>
    <w:rsid w:val="00CC00D0"/>
    <w:rsid w:val="00CC0DA6"/>
    <w:rsid w:val="00CC12D4"/>
    <w:rsid w:val="00CC2EB2"/>
    <w:rsid w:val="00CC3932"/>
    <w:rsid w:val="00CC3D76"/>
    <w:rsid w:val="00CC4FE8"/>
    <w:rsid w:val="00CC563C"/>
    <w:rsid w:val="00CC63F9"/>
    <w:rsid w:val="00CC6BA4"/>
    <w:rsid w:val="00CC7DB6"/>
    <w:rsid w:val="00CD0FB8"/>
    <w:rsid w:val="00CD6AFB"/>
    <w:rsid w:val="00CD6EFF"/>
    <w:rsid w:val="00CD760A"/>
    <w:rsid w:val="00CE1937"/>
    <w:rsid w:val="00CE2332"/>
    <w:rsid w:val="00CE2368"/>
    <w:rsid w:val="00CE2C20"/>
    <w:rsid w:val="00CE3427"/>
    <w:rsid w:val="00CE4765"/>
    <w:rsid w:val="00CE5A3D"/>
    <w:rsid w:val="00CE637A"/>
    <w:rsid w:val="00CE646A"/>
    <w:rsid w:val="00CE6C4B"/>
    <w:rsid w:val="00CF014D"/>
    <w:rsid w:val="00CF041F"/>
    <w:rsid w:val="00CF04D9"/>
    <w:rsid w:val="00CF0CB2"/>
    <w:rsid w:val="00CF2984"/>
    <w:rsid w:val="00CF2A2F"/>
    <w:rsid w:val="00CF3EF9"/>
    <w:rsid w:val="00CF400B"/>
    <w:rsid w:val="00CF6554"/>
    <w:rsid w:val="00CF6719"/>
    <w:rsid w:val="00CF794C"/>
    <w:rsid w:val="00CF7AB8"/>
    <w:rsid w:val="00CF7D2B"/>
    <w:rsid w:val="00CF7E53"/>
    <w:rsid w:val="00D000D5"/>
    <w:rsid w:val="00D00222"/>
    <w:rsid w:val="00D00804"/>
    <w:rsid w:val="00D023A1"/>
    <w:rsid w:val="00D06AD9"/>
    <w:rsid w:val="00D06B37"/>
    <w:rsid w:val="00D077E2"/>
    <w:rsid w:val="00D10542"/>
    <w:rsid w:val="00D11356"/>
    <w:rsid w:val="00D11B1D"/>
    <w:rsid w:val="00D11EE5"/>
    <w:rsid w:val="00D12341"/>
    <w:rsid w:val="00D13431"/>
    <w:rsid w:val="00D13A83"/>
    <w:rsid w:val="00D13F8F"/>
    <w:rsid w:val="00D13F93"/>
    <w:rsid w:val="00D14720"/>
    <w:rsid w:val="00D14B96"/>
    <w:rsid w:val="00D153B0"/>
    <w:rsid w:val="00D155F0"/>
    <w:rsid w:val="00D15AB7"/>
    <w:rsid w:val="00D176C5"/>
    <w:rsid w:val="00D177E4"/>
    <w:rsid w:val="00D17E50"/>
    <w:rsid w:val="00D205A2"/>
    <w:rsid w:val="00D20E3A"/>
    <w:rsid w:val="00D2127E"/>
    <w:rsid w:val="00D21E24"/>
    <w:rsid w:val="00D21E6A"/>
    <w:rsid w:val="00D22695"/>
    <w:rsid w:val="00D2673E"/>
    <w:rsid w:val="00D3101C"/>
    <w:rsid w:val="00D32690"/>
    <w:rsid w:val="00D32B6E"/>
    <w:rsid w:val="00D32BED"/>
    <w:rsid w:val="00D331F6"/>
    <w:rsid w:val="00D336E4"/>
    <w:rsid w:val="00D33E28"/>
    <w:rsid w:val="00D33E74"/>
    <w:rsid w:val="00D34005"/>
    <w:rsid w:val="00D34C29"/>
    <w:rsid w:val="00D351D5"/>
    <w:rsid w:val="00D40D0C"/>
    <w:rsid w:val="00D42A93"/>
    <w:rsid w:val="00D4391D"/>
    <w:rsid w:val="00D43E68"/>
    <w:rsid w:val="00D43ED1"/>
    <w:rsid w:val="00D445E9"/>
    <w:rsid w:val="00D4532D"/>
    <w:rsid w:val="00D459CF"/>
    <w:rsid w:val="00D47130"/>
    <w:rsid w:val="00D474A2"/>
    <w:rsid w:val="00D477EA"/>
    <w:rsid w:val="00D5115D"/>
    <w:rsid w:val="00D51FF4"/>
    <w:rsid w:val="00D537F6"/>
    <w:rsid w:val="00D54480"/>
    <w:rsid w:val="00D5607F"/>
    <w:rsid w:val="00D5629E"/>
    <w:rsid w:val="00D56D40"/>
    <w:rsid w:val="00D57563"/>
    <w:rsid w:val="00D57ADC"/>
    <w:rsid w:val="00D612ED"/>
    <w:rsid w:val="00D6202B"/>
    <w:rsid w:val="00D63549"/>
    <w:rsid w:val="00D64DE0"/>
    <w:rsid w:val="00D65BEA"/>
    <w:rsid w:val="00D663C7"/>
    <w:rsid w:val="00D74BB4"/>
    <w:rsid w:val="00D74DDB"/>
    <w:rsid w:val="00D75145"/>
    <w:rsid w:val="00D771A4"/>
    <w:rsid w:val="00D7737C"/>
    <w:rsid w:val="00D77CB2"/>
    <w:rsid w:val="00D77F28"/>
    <w:rsid w:val="00D80886"/>
    <w:rsid w:val="00D80946"/>
    <w:rsid w:val="00D82DE4"/>
    <w:rsid w:val="00D83A08"/>
    <w:rsid w:val="00D84BA9"/>
    <w:rsid w:val="00D85B8A"/>
    <w:rsid w:val="00D9081B"/>
    <w:rsid w:val="00D90C32"/>
    <w:rsid w:val="00D92BF7"/>
    <w:rsid w:val="00D94D52"/>
    <w:rsid w:val="00D95CBC"/>
    <w:rsid w:val="00D96813"/>
    <w:rsid w:val="00D97EB3"/>
    <w:rsid w:val="00DA00A6"/>
    <w:rsid w:val="00DA2445"/>
    <w:rsid w:val="00DA45F2"/>
    <w:rsid w:val="00DA640A"/>
    <w:rsid w:val="00DA681C"/>
    <w:rsid w:val="00DA72AB"/>
    <w:rsid w:val="00DA754B"/>
    <w:rsid w:val="00DB0308"/>
    <w:rsid w:val="00DB0800"/>
    <w:rsid w:val="00DB40BA"/>
    <w:rsid w:val="00DB490A"/>
    <w:rsid w:val="00DB4B3A"/>
    <w:rsid w:val="00DB4C61"/>
    <w:rsid w:val="00DB4D37"/>
    <w:rsid w:val="00DB51A9"/>
    <w:rsid w:val="00DB5381"/>
    <w:rsid w:val="00DB57B0"/>
    <w:rsid w:val="00DB631D"/>
    <w:rsid w:val="00DC03ED"/>
    <w:rsid w:val="00DC06CB"/>
    <w:rsid w:val="00DC298F"/>
    <w:rsid w:val="00DC5580"/>
    <w:rsid w:val="00DC6BF0"/>
    <w:rsid w:val="00DC77CB"/>
    <w:rsid w:val="00DD1511"/>
    <w:rsid w:val="00DD2103"/>
    <w:rsid w:val="00DD27D4"/>
    <w:rsid w:val="00DD44EE"/>
    <w:rsid w:val="00DD5B8A"/>
    <w:rsid w:val="00DD73C0"/>
    <w:rsid w:val="00DE207D"/>
    <w:rsid w:val="00DE441B"/>
    <w:rsid w:val="00DE44A1"/>
    <w:rsid w:val="00DE4778"/>
    <w:rsid w:val="00DE4793"/>
    <w:rsid w:val="00DE6DD8"/>
    <w:rsid w:val="00DE7257"/>
    <w:rsid w:val="00DF0F00"/>
    <w:rsid w:val="00DF3C86"/>
    <w:rsid w:val="00DF3EE9"/>
    <w:rsid w:val="00E0049B"/>
    <w:rsid w:val="00E00515"/>
    <w:rsid w:val="00E01489"/>
    <w:rsid w:val="00E028A7"/>
    <w:rsid w:val="00E029DC"/>
    <w:rsid w:val="00E02C1B"/>
    <w:rsid w:val="00E02F80"/>
    <w:rsid w:val="00E0441B"/>
    <w:rsid w:val="00E06849"/>
    <w:rsid w:val="00E07C48"/>
    <w:rsid w:val="00E10624"/>
    <w:rsid w:val="00E109FA"/>
    <w:rsid w:val="00E1149E"/>
    <w:rsid w:val="00E127A2"/>
    <w:rsid w:val="00E15751"/>
    <w:rsid w:val="00E16272"/>
    <w:rsid w:val="00E16A9E"/>
    <w:rsid w:val="00E17D9C"/>
    <w:rsid w:val="00E21D4B"/>
    <w:rsid w:val="00E24FC5"/>
    <w:rsid w:val="00E2565C"/>
    <w:rsid w:val="00E2592E"/>
    <w:rsid w:val="00E25B77"/>
    <w:rsid w:val="00E25D61"/>
    <w:rsid w:val="00E260A2"/>
    <w:rsid w:val="00E26252"/>
    <w:rsid w:val="00E264DE"/>
    <w:rsid w:val="00E330F5"/>
    <w:rsid w:val="00E3317D"/>
    <w:rsid w:val="00E33658"/>
    <w:rsid w:val="00E351C2"/>
    <w:rsid w:val="00E35700"/>
    <w:rsid w:val="00E36001"/>
    <w:rsid w:val="00E3643B"/>
    <w:rsid w:val="00E36BE2"/>
    <w:rsid w:val="00E370DE"/>
    <w:rsid w:val="00E3775F"/>
    <w:rsid w:val="00E40494"/>
    <w:rsid w:val="00E43B3A"/>
    <w:rsid w:val="00E43E6E"/>
    <w:rsid w:val="00E44970"/>
    <w:rsid w:val="00E471CB"/>
    <w:rsid w:val="00E47E34"/>
    <w:rsid w:val="00E50A99"/>
    <w:rsid w:val="00E50B5A"/>
    <w:rsid w:val="00E53373"/>
    <w:rsid w:val="00E55996"/>
    <w:rsid w:val="00E60230"/>
    <w:rsid w:val="00E638E2"/>
    <w:rsid w:val="00E65359"/>
    <w:rsid w:val="00E70C72"/>
    <w:rsid w:val="00E70E1A"/>
    <w:rsid w:val="00E7114E"/>
    <w:rsid w:val="00E72324"/>
    <w:rsid w:val="00E728DC"/>
    <w:rsid w:val="00E74301"/>
    <w:rsid w:val="00E76CD9"/>
    <w:rsid w:val="00E815E9"/>
    <w:rsid w:val="00E81AE6"/>
    <w:rsid w:val="00E833BA"/>
    <w:rsid w:val="00E83A6C"/>
    <w:rsid w:val="00E85242"/>
    <w:rsid w:val="00E86431"/>
    <w:rsid w:val="00E865E0"/>
    <w:rsid w:val="00E875AC"/>
    <w:rsid w:val="00E90D89"/>
    <w:rsid w:val="00E9297C"/>
    <w:rsid w:val="00E929FF"/>
    <w:rsid w:val="00E92DAC"/>
    <w:rsid w:val="00E9576E"/>
    <w:rsid w:val="00E95AA9"/>
    <w:rsid w:val="00E96233"/>
    <w:rsid w:val="00E96BE9"/>
    <w:rsid w:val="00E97D8F"/>
    <w:rsid w:val="00EA1523"/>
    <w:rsid w:val="00EA45B0"/>
    <w:rsid w:val="00EA599B"/>
    <w:rsid w:val="00EA671F"/>
    <w:rsid w:val="00EA776A"/>
    <w:rsid w:val="00EA78F3"/>
    <w:rsid w:val="00EB0125"/>
    <w:rsid w:val="00EB0537"/>
    <w:rsid w:val="00EB203B"/>
    <w:rsid w:val="00EB28C9"/>
    <w:rsid w:val="00EB2AEF"/>
    <w:rsid w:val="00EB3EC8"/>
    <w:rsid w:val="00EB4571"/>
    <w:rsid w:val="00EB4599"/>
    <w:rsid w:val="00EB563D"/>
    <w:rsid w:val="00EB6B05"/>
    <w:rsid w:val="00EC075E"/>
    <w:rsid w:val="00EC0A1F"/>
    <w:rsid w:val="00EC18FE"/>
    <w:rsid w:val="00EC1A4C"/>
    <w:rsid w:val="00EC30C9"/>
    <w:rsid w:val="00EC5B7E"/>
    <w:rsid w:val="00EC5CD5"/>
    <w:rsid w:val="00EC65E4"/>
    <w:rsid w:val="00EC75CF"/>
    <w:rsid w:val="00EC7832"/>
    <w:rsid w:val="00EC79FD"/>
    <w:rsid w:val="00ED0EAF"/>
    <w:rsid w:val="00ED2CBA"/>
    <w:rsid w:val="00ED3390"/>
    <w:rsid w:val="00ED3E50"/>
    <w:rsid w:val="00ED441F"/>
    <w:rsid w:val="00ED5194"/>
    <w:rsid w:val="00ED563C"/>
    <w:rsid w:val="00EE038A"/>
    <w:rsid w:val="00EE03B2"/>
    <w:rsid w:val="00EE163F"/>
    <w:rsid w:val="00EE1DA0"/>
    <w:rsid w:val="00EE24F7"/>
    <w:rsid w:val="00EE3742"/>
    <w:rsid w:val="00EE4702"/>
    <w:rsid w:val="00EE5180"/>
    <w:rsid w:val="00EE534D"/>
    <w:rsid w:val="00EE5421"/>
    <w:rsid w:val="00EE6528"/>
    <w:rsid w:val="00EE6DD1"/>
    <w:rsid w:val="00EE7E3B"/>
    <w:rsid w:val="00EF0840"/>
    <w:rsid w:val="00EF1E5D"/>
    <w:rsid w:val="00EF3437"/>
    <w:rsid w:val="00EF4856"/>
    <w:rsid w:val="00F00034"/>
    <w:rsid w:val="00F02007"/>
    <w:rsid w:val="00F020BB"/>
    <w:rsid w:val="00F02629"/>
    <w:rsid w:val="00F02717"/>
    <w:rsid w:val="00F02B30"/>
    <w:rsid w:val="00F052E1"/>
    <w:rsid w:val="00F06E39"/>
    <w:rsid w:val="00F101C9"/>
    <w:rsid w:val="00F105EB"/>
    <w:rsid w:val="00F11479"/>
    <w:rsid w:val="00F11DF0"/>
    <w:rsid w:val="00F12F85"/>
    <w:rsid w:val="00F13BA1"/>
    <w:rsid w:val="00F13F22"/>
    <w:rsid w:val="00F14DC8"/>
    <w:rsid w:val="00F158DD"/>
    <w:rsid w:val="00F16832"/>
    <w:rsid w:val="00F16BFF"/>
    <w:rsid w:val="00F17D7E"/>
    <w:rsid w:val="00F2090B"/>
    <w:rsid w:val="00F2252F"/>
    <w:rsid w:val="00F22D38"/>
    <w:rsid w:val="00F25193"/>
    <w:rsid w:val="00F25F51"/>
    <w:rsid w:val="00F2635B"/>
    <w:rsid w:val="00F320C1"/>
    <w:rsid w:val="00F354B1"/>
    <w:rsid w:val="00F35610"/>
    <w:rsid w:val="00F35C95"/>
    <w:rsid w:val="00F411E7"/>
    <w:rsid w:val="00F41595"/>
    <w:rsid w:val="00F41664"/>
    <w:rsid w:val="00F42B72"/>
    <w:rsid w:val="00F43C00"/>
    <w:rsid w:val="00F44C3F"/>
    <w:rsid w:val="00F44FC0"/>
    <w:rsid w:val="00F5041B"/>
    <w:rsid w:val="00F507AD"/>
    <w:rsid w:val="00F50EF9"/>
    <w:rsid w:val="00F51EC8"/>
    <w:rsid w:val="00F54EF6"/>
    <w:rsid w:val="00F54F07"/>
    <w:rsid w:val="00F555D7"/>
    <w:rsid w:val="00F5561A"/>
    <w:rsid w:val="00F575B8"/>
    <w:rsid w:val="00F57ABB"/>
    <w:rsid w:val="00F60B3E"/>
    <w:rsid w:val="00F61693"/>
    <w:rsid w:val="00F63B5D"/>
    <w:rsid w:val="00F646A4"/>
    <w:rsid w:val="00F659FC"/>
    <w:rsid w:val="00F66BB8"/>
    <w:rsid w:val="00F67BB4"/>
    <w:rsid w:val="00F70555"/>
    <w:rsid w:val="00F71C73"/>
    <w:rsid w:val="00F71F5B"/>
    <w:rsid w:val="00F730A6"/>
    <w:rsid w:val="00F73463"/>
    <w:rsid w:val="00F73A8A"/>
    <w:rsid w:val="00F75D44"/>
    <w:rsid w:val="00F7744A"/>
    <w:rsid w:val="00F77DE0"/>
    <w:rsid w:val="00F81CD0"/>
    <w:rsid w:val="00F82C33"/>
    <w:rsid w:val="00F84E8B"/>
    <w:rsid w:val="00F8693F"/>
    <w:rsid w:val="00F90927"/>
    <w:rsid w:val="00F91FD8"/>
    <w:rsid w:val="00F92307"/>
    <w:rsid w:val="00FA16C0"/>
    <w:rsid w:val="00FA5065"/>
    <w:rsid w:val="00FA5C3C"/>
    <w:rsid w:val="00FA64CD"/>
    <w:rsid w:val="00FB1FC5"/>
    <w:rsid w:val="00FB3A43"/>
    <w:rsid w:val="00FB3CBF"/>
    <w:rsid w:val="00FB6908"/>
    <w:rsid w:val="00FB6B18"/>
    <w:rsid w:val="00FC3E67"/>
    <w:rsid w:val="00FC50BC"/>
    <w:rsid w:val="00FC6D40"/>
    <w:rsid w:val="00FC7071"/>
    <w:rsid w:val="00FC7DEF"/>
    <w:rsid w:val="00FD024F"/>
    <w:rsid w:val="00FD0A03"/>
    <w:rsid w:val="00FD0E39"/>
    <w:rsid w:val="00FD24DB"/>
    <w:rsid w:val="00FD2844"/>
    <w:rsid w:val="00FD2E97"/>
    <w:rsid w:val="00FD398D"/>
    <w:rsid w:val="00FD4180"/>
    <w:rsid w:val="00FD458E"/>
    <w:rsid w:val="00FD5EDF"/>
    <w:rsid w:val="00FD607B"/>
    <w:rsid w:val="00FD6445"/>
    <w:rsid w:val="00FD6C33"/>
    <w:rsid w:val="00FD791E"/>
    <w:rsid w:val="00FE0162"/>
    <w:rsid w:val="00FE0A4F"/>
    <w:rsid w:val="00FE0DE9"/>
    <w:rsid w:val="00FE1BC7"/>
    <w:rsid w:val="00FE3525"/>
    <w:rsid w:val="00FE67C6"/>
    <w:rsid w:val="00FF0B35"/>
    <w:rsid w:val="00FF0E23"/>
    <w:rsid w:val="00FF2AC1"/>
    <w:rsid w:val="00FF33D0"/>
    <w:rsid w:val="00FF443C"/>
    <w:rsid w:val="00FF5856"/>
    <w:rsid w:val="00FF6D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8F"/>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B2BEB"/>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2BEB"/>
    <w:rPr>
      <w:rFonts w:ascii="Cambria" w:hAnsi="Cambria" w:cs="Times New Roman"/>
      <w:b/>
      <w:bCs/>
      <w:color w:val="365F91"/>
      <w:sz w:val="28"/>
      <w:szCs w:val="28"/>
    </w:rPr>
  </w:style>
  <w:style w:type="paragraph" w:styleId="NoSpacing">
    <w:name w:val="No Spacing"/>
    <w:uiPriority w:val="99"/>
    <w:qFormat/>
    <w:rsid w:val="007B2BEB"/>
    <w:pPr>
      <w:bidi/>
    </w:pPr>
  </w:style>
  <w:style w:type="paragraph" w:customStyle="1" w:styleId="Pa7">
    <w:name w:val="Pa7"/>
    <w:basedOn w:val="Normal"/>
    <w:next w:val="Normal"/>
    <w:uiPriority w:val="99"/>
    <w:rsid w:val="002B45FB"/>
    <w:pPr>
      <w:autoSpaceDE w:val="0"/>
      <w:autoSpaceDN w:val="0"/>
      <w:bidi w:val="0"/>
      <w:adjustRightInd w:val="0"/>
      <w:spacing w:line="181" w:lineRule="atLeast"/>
    </w:pPr>
    <w:rPr>
      <w:rFonts w:ascii="CapitoliumNews" w:eastAsia="Calibri" w:hAnsi="CapitoliumNews" w:cs="Arial"/>
    </w:rPr>
  </w:style>
  <w:style w:type="paragraph" w:customStyle="1" w:styleId="Pa8">
    <w:name w:val="Pa8"/>
    <w:basedOn w:val="Normal"/>
    <w:next w:val="Normal"/>
    <w:uiPriority w:val="99"/>
    <w:rsid w:val="004A17D5"/>
    <w:pPr>
      <w:autoSpaceDE w:val="0"/>
      <w:autoSpaceDN w:val="0"/>
      <w:bidi w:val="0"/>
      <w:adjustRightInd w:val="0"/>
      <w:spacing w:line="161" w:lineRule="atLeast"/>
    </w:pPr>
    <w:rPr>
      <w:rFonts w:ascii="CapitoliumNews" w:eastAsia="Calibri" w:hAnsi="CapitoliumNews" w:cs="Arial"/>
    </w:rPr>
  </w:style>
  <w:style w:type="paragraph" w:styleId="ListParagraph">
    <w:name w:val="List Paragraph"/>
    <w:basedOn w:val="Normal"/>
    <w:uiPriority w:val="99"/>
    <w:qFormat/>
    <w:rsid w:val="00622CD3"/>
    <w:pPr>
      <w:spacing w:after="200" w:line="276" w:lineRule="auto"/>
      <w:ind w:left="720"/>
    </w:pPr>
    <w:rPr>
      <w:rFonts w:ascii="Calibri" w:eastAsia="Calibri" w:hAnsi="Calibri" w:cs="Arial"/>
      <w:sz w:val="22"/>
      <w:szCs w:val="22"/>
    </w:rPr>
  </w:style>
  <w:style w:type="paragraph" w:customStyle="1" w:styleId="yiv8023259954msonormal">
    <w:name w:val="yiv8023259954msonormal"/>
    <w:basedOn w:val="Normal"/>
    <w:uiPriority w:val="99"/>
    <w:rsid w:val="00320071"/>
    <w:pPr>
      <w:bidi w:val="0"/>
      <w:spacing w:before="100" w:beforeAutospacing="1" w:after="100" w:afterAutospacing="1"/>
    </w:pPr>
    <w:rPr>
      <w:rFonts w:eastAsia="MS Mincho"/>
      <w:lang w:eastAsia="ja-JP"/>
    </w:rPr>
  </w:style>
  <w:style w:type="character" w:customStyle="1" w:styleId="apple-converted-space">
    <w:name w:val="apple-converted-space"/>
    <w:basedOn w:val="DefaultParagraphFont"/>
    <w:uiPriority w:val="99"/>
    <w:rsid w:val="00320071"/>
    <w:rPr>
      <w:rFonts w:cs="Times New Roman"/>
    </w:rPr>
  </w:style>
  <w:style w:type="paragraph" w:customStyle="1" w:styleId="Pa9">
    <w:name w:val="Pa9"/>
    <w:basedOn w:val="Normal"/>
    <w:next w:val="Normal"/>
    <w:uiPriority w:val="99"/>
    <w:rsid w:val="00011ADF"/>
    <w:pPr>
      <w:autoSpaceDE w:val="0"/>
      <w:autoSpaceDN w:val="0"/>
      <w:bidi w:val="0"/>
      <w:adjustRightInd w:val="0"/>
      <w:spacing w:line="221" w:lineRule="atLeast"/>
    </w:pPr>
    <w:rPr>
      <w:rFonts w:ascii="CapitoliumNews" w:eastAsia="Calibri" w:hAnsi="CapitoliumNews" w:cs="Arial"/>
    </w:rPr>
  </w:style>
  <w:style w:type="paragraph" w:customStyle="1" w:styleId="Default">
    <w:name w:val="Default"/>
    <w:uiPriority w:val="99"/>
    <w:rsid w:val="00F646A4"/>
    <w:pPr>
      <w:autoSpaceDE w:val="0"/>
      <w:autoSpaceDN w:val="0"/>
      <w:adjustRightInd w:val="0"/>
    </w:pPr>
    <w:rPr>
      <w:rFonts w:ascii="CapitoliumNews" w:hAnsi="CapitoliumNews" w:cs="CapitoliumNews"/>
      <w:color w:val="000000"/>
      <w:sz w:val="24"/>
      <w:szCs w:val="24"/>
    </w:rPr>
  </w:style>
  <w:style w:type="character" w:customStyle="1" w:styleId="A3">
    <w:name w:val="A3"/>
    <w:uiPriority w:val="99"/>
    <w:rsid w:val="001C7D4E"/>
    <w:rPr>
      <w:color w:val="000000"/>
      <w:sz w:val="14"/>
    </w:rPr>
  </w:style>
  <w:style w:type="paragraph" w:styleId="BalloonText">
    <w:name w:val="Balloon Text"/>
    <w:basedOn w:val="Normal"/>
    <w:link w:val="BalloonTextChar"/>
    <w:uiPriority w:val="99"/>
    <w:semiHidden/>
    <w:rsid w:val="00110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0FE7"/>
    <w:rPr>
      <w:rFonts w:ascii="Tahoma" w:hAnsi="Tahoma" w:cs="Tahoma"/>
      <w:sz w:val="16"/>
      <w:szCs w:val="16"/>
    </w:rPr>
  </w:style>
  <w:style w:type="paragraph" w:styleId="Header">
    <w:name w:val="header"/>
    <w:basedOn w:val="Normal"/>
    <w:link w:val="HeaderChar"/>
    <w:uiPriority w:val="99"/>
    <w:rsid w:val="00DC77CB"/>
    <w:pPr>
      <w:tabs>
        <w:tab w:val="center" w:pos="4153"/>
        <w:tab w:val="right" w:pos="8306"/>
      </w:tabs>
    </w:pPr>
  </w:style>
  <w:style w:type="character" w:customStyle="1" w:styleId="HeaderChar">
    <w:name w:val="Header Char"/>
    <w:basedOn w:val="DefaultParagraphFont"/>
    <w:link w:val="Header"/>
    <w:uiPriority w:val="99"/>
    <w:locked/>
    <w:rsid w:val="00DC77CB"/>
    <w:rPr>
      <w:rFonts w:ascii="Times New Roman" w:hAnsi="Times New Roman" w:cs="Times New Roman"/>
      <w:sz w:val="24"/>
      <w:szCs w:val="24"/>
    </w:rPr>
  </w:style>
  <w:style w:type="paragraph" w:styleId="Footer">
    <w:name w:val="footer"/>
    <w:basedOn w:val="Normal"/>
    <w:link w:val="FooterChar"/>
    <w:uiPriority w:val="99"/>
    <w:rsid w:val="00DC77CB"/>
    <w:pPr>
      <w:tabs>
        <w:tab w:val="center" w:pos="4153"/>
        <w:tab w:val="right" w:pos="8306"/>
      </w:tabs>
    </w:pPr>
  </w:style>
  <w:style w:type="character" w:customStyle="1" w:styleId="FooterChar">
    <w:name w:val="Footer Char"/>
    <w:basedOn w:val="DefaultParagraphFont"/>
    <w:link w:val="Footer"/>
    <w:uiPriority w:val="99"/>
    <w:locked/>
    <w:rsid w:val="00DC77CB"/>
    <w:rPr>
      <w:rFonts w:ascii="Times New Roman" w:hAnsi="Times New Roman" w:cs="Times New Roman"/>
      <w:sz w:val="24"/>
      <w:szCs w:val="24"/>
    </w:rPr>
  </w:style>
  <w:style w:type="table" w:styleId="TableGrid">
    <w:name w:val="Table Grid"/>
    <w:basedOn w:val="TableNormal"/>
    <w:uiPriority w:val="99"/>
    <w:locked/>
    <w:rsid w:val="00B26AA4"/>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604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15982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3266</Words>
  <Characters>18619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mdht</cp:lastModifiedBy>
  <cp:revision>2</cp:revision>
  <cp:lastPrinted>2015-11-06T18:32:00Z</cp:lastPrinted>
  <dcterms:created xsi:type="dcterms:W3CDTF">2015-11-29T11:29:00Z</dcterms:created>
  <dcterms:modified xsi:type="dcterms:W3CDTF">2015-11-29T11:29:00Z</dcterms:modified>
</cp:coreProperties>
</file>